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E2592" w:rsidRPr="00001242" w:rsidRDefault="00952D54" w:rsidP="00001242">
      <w:pPr>
        <w:spacing w:after="160" w:line="259" w:lineRule="auto"/>
        <w:jc w:val="both"/>
        <w:rPr>
          <w:rFonts w:ascii="Century Gothic" w:eastAsia="Calibri" w:hAnsi="Century Gothic" w:cs="Calibri"/>
          <w:b/>
          <w:color w:val="2E2E2E"/>
          <w:sz w:val="24"/>
          <w:szCs w:val="24"/>
          <w:shd w:val="clear" w:color="auto" w:fill="FFFFFF"/>
        </w:rPr>
      </w:pPr>
      <w:r>
        <w:rPr>
          <w:rFonts w:ascii="Century Gothic" w:eastAsia="Calibri" w:hAnsi="Century Gothic" w:cs="Calibri"/>
          <w:b/>
          <w:noProof/>
          <w:color w:val="2E2E2E"/>
          <w:sz w:val="24"/>
          <w:szCs w:val="24"/>
        </w:rPr>
        <mc:AlternateContent>
          <mc:Choice Requires="wps">
            <w:drawing>
              <wp:anchor distT="0" distB="0" distL="114300" distR="114300" simplePos="0" relativeHeight="251659264" behindDoc="1" locked="0" layoutInCell="1" allowOverlap="1">
                <wp:simplePos x="0" y="0"/>
                <wp:positionH relativeFrom="column">
                  <wp:posOffset>3387090</wp:posOffset>
                </wp:positionH>
                <wp:positionV relativeFrom="paragraph">
                  <wp:posOffset>262255</wp:posOffset>
                </wp:positionV>
                <wp:extent cx="3133725" cy="1285875"/>
                <wp:effectExtent l="0" t="0" r="28575" b="28575"/>
                <wp:wrapNone/>
                <wp:docPr id="2" name="2 Pentágono"/>
                <wp:cNvGraphicFramePr/>
                <a:graphic xmlns:a="http://schemas.openxmlformats.org/drawingml/2006/main">
                  <a:graphicData uri="http://schemas.microsoft.com/office/word/2010/wordprocessingShape">
                    <wps:wsp>
                      <wps:cNvSpPr/>
                      <wps:spPr>
                        <a:xfrm>
                          <a:off x="0" y="0"/>
                          <a:ext cx="3133725" cy="1285875"/>
                        </a:xfrm>
                        <a:prstGeom prst="homePlate">
                          <a:avLst/>
                        </a:prstGeom>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2 Pentágono" o:spid="_x0000_s1026" type="#_x0000_t15" style="position:absolute;margin-left:266.7pt;margin-top:20.65pt;width:246.75pt;height:101.2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iO8agIAABkFAAAOAAAAZHJzL2Uyb0RvYy54bWysVM1O3DAQvlfqO1i+l2wCW+iKLFqBqCoh&#10;WBUqzsaxd6PaHnfs/eNt+ix9sY6dbKBlT1Uvzozn95t84/OLrTVsrTC04GpeHo04U05C07pFzb89&#10;XH844yxE4RphwKma71TgF9P37843fqIqWIJpFDJK4sJk42u+jNFPiiLIpbIiHIFXjowa0IpIKi6K&#10;BsWGsltTVKPRx2ID2HgEqUKg26vOyKc5v9ZKxjutg4rM1Jx6i/nEfD6ls5iei8kChV+2sm9D/EMX&#10;VrSOig6prkQUbIXtm1S2lQgBdDySYAvQupUqYyA05egvNPdL4VXGQsMJfhhT+H9p5e16jqxtal5x&#10;5oSlX1SxuXLx188FOEjz2fgwIbd7P8deCyQmsFuNNn0JBtvmme6GmaptZJIuj8vj49NqzJkkW1md&#10;jc9Oxylr8RLuMcTPCixLAkEDq+ZGxIRcTMT6JsTOf+9HwamnrossxZ1Rydm4r0oTGqpb5ejMI3Vp&#10;kK0FMUBISdD29bN3CtOtMUNgeSjQxLJvuvdNYSrzawgcHQr8s+IQkauCi0OwbR3goQTN96Fy579H&#10;32FO8J+g2dFPROjYHby8bmmSNyLEuUCiMxGfVjTe0aENbGoOvcTZEvD50H3yT78Cnznb0HrUPPxY&#10;CVScmS+O+PepPDlJ+5SVk/FpRQq+tjy9triVvQSaf0mPgZdZTP7R7EWNYB9pk2epKpmEk1S75jLi&#10;XrmM3drSWyDVbJbdaIe8iDfu3suUPE01keRh+yjQ93SKxMRb2K/SG0J1vinSwWwVQbeZbS9z7edN&#10;+5dJ278VacFf69nr5UWb/gYAAP//AwBQSwMEFAAGAAgAAAAhAJL1WhXgAAAACwEAAA8AAABkcnMv&#10;ZG93bnJldi54bWxMj8FOwzAQRO9I/IO1SNyo3ThUaYhTVZW4UQkKEurNjZckIl6H2GnC3+Oe6HE1&#10;TzNvi81sO3bGwbeOFCwXAhhS5UxLtYKP9+eHDJgPmozuHKGCX/SwKW9vCp0bN9Ebng+hZrGEfK4V&#10;NCH0Oee+atBqv3A9Usy+3GB1iOdQczPoKZbbjidCrLjVLcWFRve4a7D6PoxWwTYZ9+KVjp/jLtN7&#10;+bP2R5xelLq/m7dPwALO4R+Gi35UhzI6ndxIxrNOwaOUaUQVpEsJ7AKIZLUGdlKQpDIDXhb8+ofy&#10;DwAA//8DAFBLAQItABQABgAIAAAAIQC2gziS/gAAAOEBAAATAAAAAAAAAAAAAAAAAAAAAABbQ29u&#10;dGVudF9UeXBlc10ueG1sUEsBAi0AFAAGAAgAAAAhADj9If/WAAAAlAEAAAsAAAAAAAAAAAAAAAAA&#10;LwEAAF9yZWxzLy5yZWxzUEsBAi0AFAAGAAgAAAAhANJeI7xqAgAAGQUAAA4AAAAAAAAAAAAAAAAA&#10;LgIAAGRycy9lMm9Eb2MueG1sUEsBAi0AFAAGAAgAAAAhAJL1WhXgAAAACwEAAA8AAAAAAAAAAAAA&#10;AAAAxAQAAGRycy9kb3ducmV2LnhtbFBLBQYAAAAABAAEAPMAAADRBQAAAAA=&#10;" adj="17168" fillcolor="white [3201]" strokecolor="#4bacc6 [3208]" strokeweight="2pt"/>
            </w:pict>
          </mc:Fallback>
        </mc:AlternateContent>
      </w:r>
    </w:p>
    <w:p w:rsidR="00BE2592" w:rsidRPr="00952D54" w:rsidRDefault="00001242" w:rsidP="00001242">
      <w:pPr>
        <w:spacing w:after="160" w:line="259" w:lineRule="auto"/>
        <w:jc w:val="right"/>
        <w:rPr>
          <w:rFonts w:ascii="Bradley Hand ITC" w:eastAsia="Calibri" w:hAnsi="Bradley Hand ITC" w:cs="Calibri"/>
          <w:color w:val="000000" w:themeColor="text1"/>
          <w:sz w:val="28"/>
          <w:szCs w:val="24"/>
          <w:shd w:val="clear" w:color="auto" w:fill="FFFFFF"/>
        </w:rPr>
      </w:pPr>
      <w:r w:rsidRPr="00952D54">
        <w:rPr>
          <w:rFonts w:ascii="Bradley Hand ITC" w:eastAsia="Calibri" w:hAnsi="Bradley Hand ITC" w:cs="Calibri"/>
          <w:color w:val="000000" w:themeColor="text1"/>
          <w:sz w:val="28"/>
          <w:szCs w:val="24"/>
          <w:shd w:val="clear" w:color="auto" w:fill="FFFFFF"/>
        </w:rPr>
        <w:t xml:space="preserve">Ximena </w:t>
      </w:r>
      <w:proofErr w:type="spellStart"/>
      <w:r w:rsidRPr="00952D54">
        <w:rPr>
          <w:rFonts w:ascii="Bradley Hand ITC" w:eastAsia="Calibri" w:hAnsi="Bradley Hand ITC" w:cs="Calibri"/>
          <w:color w:val="000000" w:themeColor="text1"/>
          <w:sz w:val="28"/>
          <w:szCs w:val="24"/>
          <w:shd w:val="clear" w:color="auto" w:fill="FFFFFF"/>
        </w:rPr>
        <w:t>Giron</w:t>
      </w:r>
      <w:proofErr w:type="spellEnd"/>
      <w:r w:rsidRPr="00952D54">
        <w:rPr>
          <w:rFonts w:ascii="Bradley Hand ITC" w:eastAsia="Calibri" w:hAnsi="Bradley Hand ITC" w:cs="Calibri"/>
          <w:color w:val="000000" w:themeColor="text1"/>
          <w:sz w:val="28"/>
          <w:szCs w:val="24"/>
          <w:shd w:val="clear" w:color="auto" w:fill="FFFFFF"/>
        </w:rPr>
        <w:t xml:space="preserve"> Ruiz </w:t>
      </w:r>
    </w:p>
    <w:p w:rsidR="00001242" w:rsidRPr="00952D54" w:rsidRDefault="009E5E34" w:rsidP="00001242">
      <w:pPr>
        <w:spacing w:after="160" w:line="259" w:lineRule="auto"/>
        <w:jc w:val="right"/>
        <w:rPr>
          <w:rFonts w:ascii="Bradley Hand ITC" w:eastAsia="Calibri" w:hAnsi="Bradley Hand ITC" w:cs="Calibri"/>
          <w:color w:val="000000" w:themeColor="text1"/>
          <w:sz w:val="28"/>
          <w:szCs w:val="24"/>
          <w:shd w:val="clear" w:color="auto" w:fill="FFFFFF"/>
          <w:lang w:val="en-US"/>
        </w:rPr>
      </w:pPr>
      <w:hyperlink r:id="rId6" w:history="1">
        <w:r w:rsidR="00001242" w:rsidRPr="00952D54">
          <w:rPr>
            <w:rStyle w:val="Hipervnculo"/>
            <w:rFonts w:ascii="Bradley Hand ITC" w:eastAsia="Calibri" w:hAnsi="Bradley Hand ITC" w:cs="Calibri"/>
            <w:color w:val="000000" w:themeColor="text1"/>
            <w:sz w:val="28"/>
            <w:szCs w:val="24"/>
            <w:shd w:val="clear" w:color="auto" w:fill="FFFFFF"/>
            <w:lang w:val="en-US"/>
          </w:rPr>
          <w:t>menita.giron92@gmail.com</w:t>
        </w:r>
      </w:hyperlink>
    </w:p>
    <w:p w:rsidR="00001242" w:rsidRPr="00952D54" w:rsidRDefault="00001242" w:rsidP="00001242">
      <w:pPr>
        <w:spacing w:after="160" w:line="259" w:lineRule="auto"/>
        <w:jc w:val="right"/>
        <w:rPr>
          <w:rFonts w:ascii="Bradley Hand ITC" w:eastAsia="Calibri" w:hAnsi="Bradley Hand ITC" w:cs="Calibri"/>
          <w:color w:val="000000" w:themeColor="text1"/>
          <w:sz w:val="28"/>
          <w:szCs w:val="24"/>
          <w:shd w:val="clear" w:color="auto" w:fill="FFFFFF"/>
          <w:lang w:val="en-US"/>
        </w:rPr>
      </w:pPr>
      <w:r w:rsidRPr="00952D54">
        <w:rPr>
          <w:rFonts w:ascii="Bradley Hand ITC" w:eastAsia="Calibri" w:hAnsi="Bradley Hand ITC" w:cs="Calibri"/>
          <w:color w:val="000000" w:themeColor="text1"/>
          <w:sz w:val="28"/>
          <w:szCs w:val="24"/>
          <w:shd w:val="clear" w:color="auto" w:fill="FFFFFF"/>
          <w:lang w:val="en-US"/>
        </w:rPr>
        <w:t>3Nivel Marketing “A”</w:t>
      </w:r>
    </w:p>
    <w:p w:rsidR="00001242" w:rsidRPr="00952D54" w:rsidRDefault="00001242" w:rsidP="00001242">
      <w:pPr>
        <w:spacing w:after="160" w:line="259" w:lineRule="auto"/>
        <w:jc w:val="right"/>
        <w:rPr>
          <w:rFonts w:ascii="Bradley Hand ITC" w:eastAsia="Calibri" w:hAnsi="Bradley Hand ITC" w:cs="Calibri"/>
          <w:color w:val="000000" w:themeColor="text1"/>
          <w:sz w:val="28"/>
          <w:szCs w:val="24"/>
          <w:shd w:val="clear" w:color="auto" w:fill="FFFFFF"/>
        </w:rPr>
      </w:pPr>
      <w:r w:rsidRPr="00952D54">
        <w:rPr>
          <w:rFonts w:ascii="Bradley Hand ITC" w:eastAsia="Calibri" w:hAnsi="Bradley Hand ITC" w:cs="Calibri"/>
          <w:color w:val="000000" w:themeColor="text1"/>
          <w:sz w:val="28"/>
          <w:szCs w:val="24"/>
          <w:shd w:val="clear" w:color="auto" w:fill="FFFFFF"/>
        </w:rPr>
        <w:t>UTMACH</w:t>
      </w:r>
    </w:p>
    <w:p w:rsidR="00001242" w:rsidRDefault="00952D54" w:rsidP="00001242">
      <w:pPr>
        <w:spacing w:after="160" w:line="259" w:lineRule="auto"/>
        <w:jc w:val="center"/>
        <w:rPr>
          <w:rFonts w:ascii="Bradley Hand ITC" w:eastAsia="Calibri" w:hAnsi="Bradley Hand ITC" w:cs="Calibri"/>
          <w:b/>
          <w:color w:val="000000" w:themeColor="text1"/>
          <w:sz w:val="28"/>
          <w:szCs w:val="24"/>
          <w:shd w:val="clear" w:color="auto" w:fill="FFFFFF"/>
        </w:rPr>
      </w:pPr>
      <w:r>
        <w:rPr>
          <w:noProof/>
        </w:rPr>
        <w:drawing>
          <wp:anchor distT="0" distB="0" distL="114300" distR="114300" simplePos="0" relativeHeight="251660288" behindDoc="0" locked="0" layoutInCell="1" allowOverlap="1" wp14:anchorId="569C8E09" wp14:editId="4F01CBA8">
            <wp:simplePos x="0" y="0"/>
            <wp:positionH relativeFrom="column">
              <wp:posOffset>-556260</wp:posOffset>
            </wp:positionH>
            <wp:positionV relativeFrom="paragraph">
              <wp:posOffset>14605</wp:posOffset>
            </wp:positionV>
            <wp:extent cx="2328545" cy="1733550"/>
            <wp:effectExtent l="0" t="0" r="0" b="0"/>
            <wp:wrapSquare wrapText="bothSides"/>
            <wp:docPr id="3" name="Imagen 3" descr="http://blogginzenith.zenithmedia.es/wp-content/uploads/2013/07/green-marke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blogginzenith.zenithmedia.es/wp-content/uploads/2013/07/green-market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28545" cy="173355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952D54" w:rsidRPr="00952D54" w:rsidRDefault="00952D54" w:rsidP="00001242">
      <w:pPr>
        <w:spacing w:after="160" w:line="259" w:lineRule="auto"/>
        <w:jc w:val="center"/>
        <w:rPr>
          <w:rFonts w:ascii="Bradley Hand ITC" w:eastAsia="Calibri" w:hAnsi="Bradley Hand ITC" w:cs="Calibri"/>
          <w:b/>
          <w:color w:val="000000" w:themeColor="text1"/>
          <w:sz w:val="28"/>
          <w:szCs w:val="24"/>
          <w:shd w:val="clear" w:color="auto" w:fill="FFFFFF"/>
        </w:rPr>
      </w:pPr>
    </w:p>
    <w:p w:rsidR="00BE2592" w:rsidRPr="00001242" w:rsidRDefault="00796CEE" w:rsidP="00001242">
      <w:pPr>
        <w:spacing w:after="160" w:line="259" w:lineRule="auto"/>
        <w:jc w:val="center"/>
        <w:rPr>
          <w:rFonts w:ascii="Century Gothic" w:eastAsia="Calibri" w:hAnsi="Century Gothic" w:cs="Calibri"/>
          <w:b/>
          <w:color w:val="2E2E2E"/>
          <w:sz w:val="24"/>
          <w:szCs w:val="24"/>
          <w:shd w:val="clear" w:color="auto" w:fill="FFFFFF"/>
        </w:rPr>
      </w:pPr>
      <w:r w:rsidRPr="00001242">
        <w:rPr>
          <w:rFonts w:ascii="Century Gothic" w:eastAsia="Calibri" w:hAnsi="Century Gothic" w:cs="Calibri"/>
          <w:b/>
          <w:color w:val="2E2E2E"/>
          <w:sz w:val="24"/>
          <w:szCs w:val="24"/>
          <w:shd w:val="clear" w:color="auto" w:fill="FFFFFF"/>
        </w:rPr>
        <w:t>EL MARKETING Y LA RESPONSABILIDAD SOCIAL DE LAS EMPRESAS</w:t>
      </w:r>
    </w:p>
    <w:p w:rsidR="00BE2592" w:rsidRPr="00001242" w:rsidRDefault="00796CEE" w:rsidP="00001242">
      <w:pPr>
        <w:spacing w:after="160" w:line="259" w:lineRule="auto"/>
        <w:jc w:val="center"/>
        <w:rPr>
          <w:rFonts w:ascii="Century Gothic" w:eastAsia="Calibri" w:hAnsi="Century Gothic" w:cs="Calibri"/>
          <w:b/>
          <w:color w:val="2E2E2E"/>
          <w:sz w:val="24"/>
          <w:szCs w:val="24"/>
          <w:shd w:val="clear" w:color="auto" w:fill="FFFFFF"/>
          <w:lang w:val="en-US"/>
        </w:rPr>
      </w:pPr>
      <w:r w:rsidRPr="00001242">
        <w:rPr>
          <w:rFonts w:ascii="Century Gothic" w:eastAsia="Calibri" w:hAnsi="Century Gothic" w:cs="Calibri"/>
          <w:b/>
          <w:color w:val="2E2E2E"/>
          <w:sz w:val="24"/>
          <w:szCs w:val="24"/>
          <w:shd w:val="clear" w:color="auto" w:fill="FFFFFF"/>
          <w:lang w:val="en-US"/>
        </w:rPr>
        <w:t>MARKETING AND CORPORATE SOCIAL RESPONSIBILITY</w:t>
      </w:r>
    </w:p>
    <w:p w:rsidR="00BE2592" w:rsidRPr="00001242" w:rsidRDefault="00BE2592" w:rsidP="00001242">
      <w:pPr>
        <w:spacing w:after="160" w:line="259" w:lineRule="auto"/>
        <w:jc w:val="both"/>
        <w:rPr>
          <w:rFonts w:ascii="Century Gothic" w:eastAsia="Calibri" w:hAnsi="Century Gothic" w:cs="Calibri"/>
          <w:b/>
          <w:color w:val="2E2E2E"/>
          <w:sz w:val="24"/>
          <w:szCs w:val="24"/>
          <w:shd w:val="clear" w:color="auto" w:fill="FFFFFF"/>
          <w:lang w:val="en-US"/>
        </w:rPr>
      </w:pPr>
    </w:p>
    <w:p w:rsidR="00952D54" w:rsidRDefault="00952D54" w:rsidP="00001242">
      <w:pPr>
        <w:spacing w:after="160" w:line="259" w:lineRule="auto"/>
        <w:jc w:val="both"/>
        <w:rPr>
          <w:rFonts w:ascii="Century Gothic" w:eastAsia="Calibri" w:hAnsi="Century Gothic" w:cs="Calibri"/>
          <w:b/>
          <w:color w:val="2E2E2E"/>
          <w:sz w:val="24"/>
          <w:szCs w:val="24"/>
          <w:shd w:val="clear" w:color="auto" w:fill="FFFFFF"/>
          <w:lang w:val="en-US"/>
        </w:rPr>
      </w:pPr>
    </w:p>
    <w:p w:rsidR="00952D54" w:rsidRDefault="00952D54" w:rsidP="00001242">
      <w:pPr>
        <w:spacing w:after="160" w:line="259" w:lineRule="auto"/>
        <w:jc w:val="both"/>
        <w:rPr>
          <w:rFonts w:ascii="Century Gothic" w:eastAsia="Calibri" w:hAnsi="Century Gothic" w:cs="Calibri"/>
          <w:b/>
          <w:color w:val="2E2E2E"/>
          <w:sz w:val="24"/>
          <w:szCs w:val="24"/>
          <w:shd w:val="clear" w:color="auto" w:fill="FFFFFF"/>
          <w:lang w:val="en-US"/>
        </w:rPr>
      </w:pPr>
    </w:p>
    <w:p w:rsidR="00952D54" w:rsidRDefault="00952D54" w:rsidP="00001242">
      <w:pPr>
        <w:spacing w:after="160" w:line="259" w:lineRule="auto"/>
        <w:jc w:val="both"/>
        <w:rPr>
          <w:rFonts w:ascii="Century Gothic" w:eastAsia="Calibri" w:hAnsi="Century Gothic" w:cs="Calibri"/>
          <w:b/>
          <w:color w:val="2E2E2E"/>
          <w:sz w:val="24"/>
          <w:szCs w:val="24"/>
          <w:shd w:val="clear" w:color="auto" w:fill="FFFFFF"/>
          <w:lang w:val="en-US"/>
        </w:rPr>
      </w:pPr>
    </w:p>
    <w:p w:rsidR="00BE2592" w:rsidRPr="00001242" w:rsidRDefault="00796CEE" w:rsidP="00001242">
      <w:pPr>
        <w:spacing w:after="160" w:line="259" w:lineRule="auto"/>
        <w:jc w:val="both"/>
        <w:rPr>
          <w:rFonts w:ascii="Century Gothic" w:eastAsia="Calibri" w:hAnsi="Century Gothic" w:cs="Calibri"/>
          <w:b/>
          <w:color w:val="2E2E2E"/>
          <w:sz w:val="24"/>
          <w:szCs w:val="24"/>
          <w:shd w:val="clear" w:color="auto" w:fill="FFFFFF"/>
          <w:lang w:val="en-US"/>
        </w:rPr>
      </w:pPr>
      <w:r w:rsidRPr="00001242">
        <w:rPr>
          <w:rFonts w:ascii="Century Gothic" w:eastAsia="Calibri" w:hAnsi="Century Gothic" w:cs="Calibri"/>
          <w:b/>
          <w:color w:val="2E2E2E"/>
          <w:sz w:val="24"/>
          <w:szCs w:val="24"/>
          <w:shd w:val="clear" w:color="auto" w:fill="FFFFFF"/>
          <w:lang w:val="en-US"/>
        </w:rPr>
        <w:t>RESUMEN</w:t>
      </w:r>
    </w:p>
    <w:p w:rsidR="00BE2592" w:rsidRPr="00001242" w:rsidRDefault="00796CEE" w:rsidP="00001242">
      <w:pPr>
        <w:spacing w:after="160" w:line="259" w:lineRule="auto"/>
        <w:jc w:val="both"/>
        <w:rPr>
          <w:rFonts w:ascii="Century Gothic" w:eastAsia="Calibri" w:hAnsi="Century Gothic" w:cs="Calibri"/>
          <w:color w:val="2E2E2E"/>
          <w:sz w:val="24"/>
          <w:szCs w:val="24"/>
          <w:shd w:val="clear" w:color="auto" w:fill="FFFFFF"/>
        </w:rPr>
      </w:pPr>
      <w:r w:rsidRPr="00952D54">
        <w:rPr>
          <w:rFonts w:ascii="Century Gothic" w:eastAsia="Calibri" w:hAnsi="Century Gothic" w:cs="Calibri"/>
          <w:color w:val="2E2E2E"/>
          <w:sz w:val="160"/>
          <w:szCs w:val="24"/>
          <w:shd w:val="clear" w:color="auto" w:fill="FFFFFF"/>
        </w:rPr>
        <w:t>L</w:t>
      </w:r>
      <w:r w:rsidRPr="00001242">
        <w:rPr>
          <w:rFonts w:ascii="Century Gothic" w:eastAsia="Calibri" w:hAnsi="Century Gothic" w:cs="Calibri"/>
          <w:color w:val="2E2E2E"/>
          <w:sz w:val="24"/>
          <w:szCs w:val="24"/>
          <w:shd w:val="clear" w:color="auto" w:fill="FFFFFF"/>
        </w:rPr>
        <w:t xml:space="preserve">os resultados de investigaciones sobre la responsabilidad social </w:t>
      </w:r>
      <w:r w:rsidR="00001242" w:rsidRPr="00001242">
        <w:rPr>
          <w:rFonts w:ascii="Century Gothic" w:eastAsia="Calibri" w:hAnsi="Century Gothic" w:cs="Calibri"/>
          <w:color w:val="2E2E2E"/>
          <w:sz w:val="24"/>
          <w:szCs w:val="24"/>
          <w:shd w:val="clear" w:color="auto" w:fill="FFFFFF"/>
        </w:rPr>
        <w:t>muestran</w:t>
      </w:r>
      <w:r w:rsidRPr="00001242">
        <w:rPr>
          <w:rFonts w:ascii="Century Gothic" w:eastAsia="Calibri" w:hAnsi="Century Gothic" w:cs="Calibri"/>
          <w:color w:val="2E2E2E"/>
          <w:sz w:val="24"/>
          <w:szCs w:val="24"/>
          <w:shd w:val="clear" w:color="auto" w:fill="FFFFFF"/>
        </w:rPr>
        <w:t xml:space="preserve"> que los consumidores de la actualidad y las normas y reglamentos que rigen a las empresas </w:t>
      </w:r>
      <w:r w:rsidR="00001242" w:rsidRPr="00001242">
        <w:rPr>
          <w:rFonts w:ascii="Century Gothic" w:eastAsia="Calibri" w:hAnsi="Century Gothic" w:cs="Calibri"/>
          <w:color w:val="2E2E2E"/>
          <w:sz w:val="24"/>
          <w:szCs w:val="24"/>
          <w:shd w:val="clear" w:color="auto" w:fill="FFFFFF"/>
        </w:rPr>
        <w:t>hoy</w:t>
      </w:r>
      <w:r w:rsidRPr="00001242">
        <w:rPr>
          <w:rFonts w:ascii="Century Gothic" w:eastAsia="Calibri" w:hAnsi="Century Gothic" w:cs="Calibri"/>
          <w:color w:val="2E2E2E"/>
          <w:sz w:val="24"/>
          <w:szCs w:val="24"/>
          <w:shd w:val="clear" w:color="auto" w:fill="FFFFFF"/>
        </w:rPr>
        <w:t xml:space="preserve"> en día obligan a que las empresas tengan más </w:t>
      </w:r>
      <w:r w:rsidR="00001242" w:rsidRPr="00001242">
        <w:rPr>
          <w:rFonts w:ascii="Century Gothic" w:eastAsia="Calibri" w:hAnsi="Century Gothic" w:cs="Calibri"/>
          <w:color w:val="2E2E2E"/>
          <w:sz w:val="24"/>
          <w:szCs w:val="24"/>
          <w:shd w:val="clear" w:color="auto" w:fill="FFFFFF"/>
        </w:rPr>
        <w:t>responsabilidad</w:t>
      </w:r>
      <w:r w:rsidRPr="00001242">
        <w:rPr>
          <w:rFonts w:ascii="Century Gothic" w:eastAsia="Calibri" w:hAnsi="Century Gothic" w:cs="Calibri"/>
          <w:color w:val="2E2E2E"/>
          <w:sz w:val="24"/>
          <w:szCs w:val="24"/>
          <w:shd w:val="clear" w:color="auto" w:fill="FFFFFF"/>
        </w:rPr>
        <w:t xml:space="preserve"> social y corporativa, </w:t>
      </w:r>
      <w:r w:rsidR="00001242" w:rsidRPr="00001242">
        <w:rPr>
          <w:rFonts w:ascii="Century Gothic" w:eastAsia="Calibri" w:hAnsi="Century Gothic" w:cs="Calibri"/>
          <w:color w:val="2E2E2E"/>
          <w:sz w:val="24"/>
          <w:szCs w:val="24"/>
          <w:shd w:val="clear" w:color="auto" w:fill="FFFFFF"/>
        </w:rPr>
        <w:t>basándose</w:t>
      </w:r>
      <w:r w:rsidRPr="00001242">
        <w:rPr>
          <w:rFonts w:ascii="Century Gothic" w:eastAsia="Calibri" w:hAnsi="Century Gothic" w:cs="Calibri"/>
          <w:color w:val="2E2E2E"/>
          <w:sz w:val="24"/>
          <w:szCs w:val="24"/>
          <w:shd w:val="clear" w:color="auto" w:fill="FFFFFF"/>
        </w:rPr>
        <w:t xml:space="preserve"> en la ética con sus empleados, con otras empresas, con sus clientes y con el medio ambiente.</w:t>
      </w:r>
    </w:p>
    <w:p w:rsidR="00BE2592" w:rsidRPr="00001242" w:rsidRDefault="00796CEE" w:rsidP="00001242">
      <w:pPr>
        <w:spacing w:after="160" w:line="259" w:lineRule="auto"/>
        <w:jc w:val="both"/>
        <w:rPr>
          <w:rFonts w:ascii="Century Gothic" w:eastAsia="Calibri" w:hAnsi="Century Gothic" w:cs="Calibri"/>
          <w:color w:val="2E2E2E"/>
          <w:sz w:val="24"/>
          <w:szCs w:val="24"/>
          <w:shd w:val="clear" w:color="auto" w:fill="FFFFFF"/>
        </w:rPr>
      </w:pPr>
      <w:r w:rsidRPr="00001242">
        <w:rPr>
          <w:rFonts w:ascii="Century Gothic" w:eastAsia="Calibri" w:hAnsi="Century Gothic" w:cs="Calibri"/>
          <w:color w:val="2E2E2E"/>
          <w:sz w:val="24"/>
          <w:szCs w:val="24"/>
          <w:shd w:val="clear" w:color="auto" w:fill="FFFFFF"/>
        </w:rPr>
        <w:t>Uno de los problemas en discusión más relevantes es el de los productos verdes, y las empresas que los producen o por lo menos tienen cierto grado de responsabilidad social y corporativa con el medio ambiente.</w:t>
      </w:r>
    </w:p>
    <w:p w:rsidR="00BE2592" w:rsidRPr="00001242" w:rsidRDefault="00796CEE" w:rsidP="00001242">
      <w:pPr>
        <w:spacing w:after="160" w:line="259" w:lineRule="auto"/>
        <w:jc w:val="both"/>
        <w:rPr>
          <w:rFonts w:ascii="Century Gothic" w:eastAsia="Calibri" w:hAnsi="Century Gothic" w:cs="Calibri"/>
          <w:color w:val="2E2E2E"/>
          <w:sz w:val="24"/>
          <w:szCs w:val="24"/>
          <w:shd w:val="clear" w:color="auto" w:fill="FFFFFF"/>
        </w:rPr>
      </w:pPr>
      <w:r w:rsidRPr="00001242">
        <w:rPr>
          <w:rFonts w:ascii="Century Gothic" w:eastAsia="Calibri" w:hAnsi="Century Gothic" w:cs="Calibri"/>
          <w:color w:val="2E2E2E"/>
          <w:sz w:val="24"/>
          <w:szCs w:val="24"/>
          <w:shd w:val="clear" w:color="auto" w:fill="FFFFFF"/>
        </w:rPr>
        <w:lastRenderedPageBreak/>
        <w:t xml:space="preserve">Existen ciertas </w:t>
      </w:r>
      <w:r w:rsidR="00001242" w:rsidRPr="00001242">
        <w:rPr>
          <w:rFonts w:ascii="Century Gothic" w:eastAsia="Calibri" w:hAnsi="Century Gothic" w:cs="Calibri"/>
          <w:color w:val="2E2E2E"/>
          <w:sz w:val="24"/>
          <w:szCs w:val="24"/>
          <w:shd w:val="clear" w:color="auto" w:fill="FFFFFF"/>
        </w:rPr>
        <w:t>reglas</w:t>
      </w:r>
      <w:r w:rsidRPr="00001242">
        <w:rPr>
          <w:rFonts w:ascii="Century Gothic" w:eastAsia="Calibri" w:hAnsi="Century Gothic" w:cs="Calibri"/>
          <w:color w:val="2E2E2E"/>
          <w:sz w:val="24"/>
          <w:szCs w:val="24"/>
          <w:shd w:val="clear" w:color="auto" w:fill="FFFFFF"/>
        </w:rPr>
        <w:t>, características y pautas que muestran que empresas cumplen, cuales no cumplen y que empresas nos engañan fingiendo que lo hacen.</w:t>
      </w:r>
    </w:p>
    <w:p w:rsidR="00BE2592" w:rsidRPr="00001242" w:rsidRDefault="00BE2592" w:rsidP="00001242">
      <w:pPr>
        <w:spacing w:after="160" w:line="259" w:lineRule="auto"/>
        <w:jc w:val="both"/>
        <w:rPr>
          <w:rFonts w:ascii="Century Gothic" w:eastAsia="Calibri" w:hAnsi="Century Gothic" w:cs="Calibri"/>
          <w:b/>
          <w:color w:val="2E2E2E"/>
          <w:sz w:val="24"/>
          <w:szCs w:val="24"/>
          <w:shd w:val="clear" w:color="auto" w:fill="FFFFFF"/>
        </w:rPr>
      </w:pPr>
    </w:p>
    <w:p w:rsidR="00BE2592" w:rsidRPr="00001242" w:rsidRDefault="00796CEE" w:rsidP="00001242">
      <w:pPr>
        <w:spacing w:after="160" w:line="259" w:lineRule="auto"/>
        <w:jc w:val="both"/>
        <w:rPr>
          <w:rFonts w:ascii="Century Gothic" w:eastAsia="Calibri" w:hAnsi="Century Gothic" w:cs="Calibri"/>
          <w:b/>
          <w:color w:val="2E2E2E"/>
          <w:sz w:val="24"/>
          <w:szCs w:val="24"/>
          <w:shd w:val="clear" w:color="auto" w:fill="FFFFFF"/>
          <w:lang w:val="en-US"/>
        </w:rPr>
      </w:pPr>
      <w:r w:rsidRPr="00001242">
        <w:rPr>
          <w:rFonts w:ascii="Century Gothic" w:eastAsia="Calibri" w:hAnsi="Century Gothic" w:cs="Calibri"/>
          <w:b/>
          <w:color w:val="2E2E2E"/>
          <w:sz w:val="24"/>
          <w:szCs w:val="24"/>
          <w:shd w:val="clear" w:color="auto" w:fill="FFFFFF"/>
          <w:lang w:val="en-US"/>
        </w:rPr>
        <w:t>ABSTRACT</w:t>
      </w:r>
    </w:p>
    <w:p w:rsidR="00BE2592" w:rsidRPr="00001242" w:rsidRDefault="00796CEE" w:rsidP="00001242">
      <w:pPr>
        <w:spacing w:after="160" w:line="259" w:lineRule="auto"/>
        <w:jc w:val="both"/>
        <w:rPr>
          <w:rFonts w:ascii="Century Gothic" w:eastAsia="Calibri" w:hAnsi="Century Gothic" w:cs="Calibri"/>
          <w:sz w:val="24"/>
          <w:szCs w:val="24"/>
          <w:lang w:val="en-US"/>
        </w:rPr>
      </w:pPr>
      <w:r w:rsidRPr="00001242">
        <w:rPr>
          <w:rFonts w:ascii="Century Gothic" w:eastAsia="Calibri" w:hAnsi="Century Gothic" w:cs="Calibri"/>
          <w:sz w:val="24"/>
          <w:szCs w:val="24"/>
          <w:lang w:val="en-US"/>
        </w:rPr>
        <w:t xml:space="preserve">The results of research on social responsibility shows that consumers of today and the rules and regulations governing businesses today require companies to have more social and corporate own risk, based on ethics with employees, other companies, their customers and the environment. </w:t>
      </w:r>
    </w:p>
    <w:p w:rsidR="00BE2592" w:rsidRPr="00001242" w:rsidRDefault="00796CEE" w:rsidP="00001242">
      <w:pPr>
        <w:spacing w:after="160" w:line="259" w:lineRule="auto"/>
        <w:jc w:val="both"/>
        <w:rPr>
          <w:rFonts w:ascii="Century Gothic" w:eastAsia="Calibri" w:hAnsi="Century Gothic" w:cs="Calibri"/>
          <w:sz w:val="24"/>
          <w:szCs w:val="24"/>
          <w:lang w:val="en-US"/>
        </w:rPr>
      </w:pPr>
      <w:r w:rsidRPr="00001242">
        <w:rPr>
          <w:rFonts w:ascii="Century Gothic" w:eastAsia="Calibri" w:hAnsi="Century Gothic" w:cs="Calibri"/>
          <w:sz w:val="24"/>
          <w:szCs w:val="24"/>
          <w:lang w:val="en-US"/>
        </w:rPr>
        <w:t xml:space="preserve">One of the problems under discussion is the most important green products, and companies that produce or at least have some degree of social and corporate responsibility to the environment. </w:t>
      </w:r>
    </w:p>
    <w:p w:rsidR="00BE2592" w:rsidRPr="00001242" w:rsidRDefault="00796CEE" w:rsidP="00001242">
      <w:pPr>
        <w:spacing w:after="160" w:line="259" w:lineRule="auto"/>
        <w:jc w:val="both"/>
        <w:rPr>
          <w:rFonts w:ascii="Century Gothic" w:eastAsia="Calibri" w:hAnsi="Century Gothic" w:cs="Calibri"/>
          <w:sz w:val="24"/>
          <w:szCs w:val="24"/>
          <w:lang w:val="en-US"/>
        </w:rPr>
      </w:pPr>
      <w:r w:rsidRPr="00001242">
        <w:rPr>
          <w:rFonts w:ascii="Century Gothic" w:eastAsia="Calibri" w:hAnsi="Century Gothic" w:cs="Calibri"/>
          <w:sz w:val="24"/>
          <w:szCs w:val="24"/>
          <w:lang w:val="en-US"/>
        </w:rPr>
        <w:t xml:space="preserve">Certain </w:t>
      </w:r>
      <w:proofErr w:type="spellStart"/>
      <w:r w:rsidRPr="00001242">
        <w:rPr>
          <w:rFonts w:ascii="Century Gothic" w:eastAsia="Calibri" w:hAnsi="Century Gothic" w:cs="Calibri"/>
          <w:sz w:val="24"/>
          <w:szCs w:val="24"/>
          <w:lang w:val="en-US"/>
        </w:rPr>
        <w:t>reaglas</w:t>
      </w:r>
      <w:proofErr w:type="spellEnd"/>
      <w:r w:rsidRPr="00001242">
        <w:rPr>
          <w:rFonts w:ascii="Century Gothic" w:eastAsia="Calibri" w:hAnsi="Century Gothic" w:cs="Calibri"/>
          <w:sz w:val="24"/>
          <w:szCs w:val="24"/>
          <w:lang w:val="en-US"/>
        </w:rPr>
        <w:t>, characteristics and patterns that show that companies comply, and which do not meet companies cheat us pretending that they do.</w:t>
      </w:r>
    </w:p>
    <w:p w:rsidR="00BE2592" w:rsidRPr="00001242" w:rsidRDefault="00BE2592" w:rsidP="00001242">
      <w:pPr>
        <w:spacing w:after="160" w:line="259" w:lineRule="auto"/>
        <w:jc w:val="both"/>
        <w:rPr>
          <w:rFonts w:ascii="Century Gothic" w:eastAsia="Calibri" w:hAnsi="Century Gothic" w:cs="Calibri"/>
          <w:sz w:val="24"/>
          <w:szCs w:val="24"/>
          <w:lang w:val="en-US"/>
        </w:rPr>
      </w:pPr>
    </w:p>
    <w:p w:rsidR="00BE2592" w:rsidRPr="00001242" w:rsidRDefault="00BE2592" w:rsidP="00001242">
      <w:pPr>
        <w:spacing w:after="160" w:line="259" w:lineRule="auto"/>
        <w:jc w:val="both"/>
        <w:rPr>
          <w:rFonts w:ascii="Century Gothic" w:eastAsia="Calibri" w:hAnsi="Century Gothic" w:cs="Calibri"/>
          <w:b/>
          <w:sz w:val="24"/>
          <w:szCs w:val="24"/>
          <w:lang w:val="en-US"/>
        </w:rPr>
      </w:pPr>
    </w:p>
    <w:p w:rsidR="00BE2592" w:rsidRPr="00001242" w:rsidRDefault="00796CEE" w:rsidP="00001242">
      <w:pPr>
        <w:spacing w:after="160" w:line="259" w:lineRule="auto"/>
        <w:jc w:val="both"/>
        <w:rPr>
          <w:rFonts w:ascii="Century Gothic" w:eastAsia="Calibri" w:hAnsi="Century Gothic" w:cs="Calibri"/>
          <w:b/>
          <w:sz w:val="24"/>
          <w:szCs w:val="24"/>
        </w:rPr>
      </w:pPr>
      <w:r w:rsidRPr="00001242">
        <w:rPr>
          <w:rFonts w:ascii="Century Gothic" w:eastAsia="Calibri" w:hAnsi="Century Gothic" w:cs="Calibri"/>
          <w:b/>
          <w:sz w:val="24"/>
          <w:szCs w:val="24"/>
        </w:rPr>
        <w:t>PALABRAS CLAVE</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Responsabilidad social corporativa; Valor de marca; Atribución; </w:t>
      </w:r>
      <w:proofErr w:type="spellStart"/>
      <w:r w:rsidRPr="00001242">
        <w:rPr>
          <w:rFonts w:ascii="Century Gothic" w:eastAsia="Calibri" w:hAnsi="Century Gothic" w:cs="Calibri"/>
          <w:sz w:val="24"/>
          <w:szCs w:val="24"/>
        </w:rPr>
        <w:t>Latent</w:t>
      </w:r>
      <w:proofErr w:type="spellEnd"/>
      <w:r w:rsidRPr="00001242">
        <w:rPr>
          <w:rFonts w:ascii="Century Gothic" w:eastAsia="Calibri" w:hAnsi="Century Gothic" w:cs="Calibri"/>
          <w:sz w:val="24"/>
          <w:szCs w:val="24"/>
        </w:rPr>
        <w:t xml:space="preserve"> </w:t>
      </w:r>
      <w:proofErr w:type="spellStart"/>
      <w:r w:rsidRPr="00001242">
        <w:rPr>
          <w:rFonts w:ascii="Century Gothic" w:eastAsia="Calibri" w:hAnsi="Century Gothic" w:cs="Calibri"/>
          <w:sz w:val="24"/>
          <w:szCs w:val="24"/>
        </w:rPr>
        <w:t>moderated</w:t>
      </w:r>
      <w:proofErr w:type="spellEnd"/>
      <w:r w:rsidRPr="00001242">
        <w:rPr>
          <w:rFonts w:ascii="Century Gothic" w:eastAsia="Calibri" w:hAnsi="Century Gothic" w:cs="Calibri"/>
          <w:sz w:val="24"/>
          <w:szCs w:val="24"/>
        </w:rPr>
        <w:t xml:space="preserve"> </w:t>
      </w:r>
      <w:proofErr w:type="spellStart"/>
      <w:r w:rsidRPr="00001242">
        <w:rPr>
          <w:rFonts w:ascii="Century Gothic" w:eastAsia="Calibri" w:hAnsi="Century Gothic" w:cs="Calibri"/>
          <w:sz w:val="24"/>
          <w:szCs w:val="24"/>
        </w:rPr>
        <w:t>structural</w:t>
      </w:r>
      <w:proofErr w:type="spellEnd"/>
      <w:r w:rsidRPr="00001242">
        <w:rPr>
          <w:rFonts w:ascii="Century Gothic" w:eastAsia="Calibri" w:hAnsi="Century Gothic" w:cs="Calibri"/>
          <w:sz w:val="24"/>
          <w:szCs w:val="24"/>
        </w:rPr>
        <w:t xml:space="preserve"> </w:t>
      </w:r>
      <w:proofErr w:type="spellStart"/>
      <w:r w:rsidRPr="00001242">
        <w:rPr>
          <w:rFonts w:ascii="Century Gothic" w:eastAsia="Calibri" w:hAnsi="Century Gothic" w:cs="Calibri"/>
          <w:sz w:val="24"/>
          <w:szCs w:val="24"/>
        </w:rPr>
        <w:t>equations</w:t>
      </w:r>
      <w:proofErr w:type="spellEnd"/>
    </w:p>
    <w:p w:rsidR="00BE2592" w:rsidRPr="00001242" w:rsidRDefault="00BE2592" w:rsidP="00001242">
      <w:pPr>
        <w:spacing w:after="160" w:line="259" w:lineRule="auto"/>
        <w:jc w:val="both"/>
        <w:rPr>
          <w:rFonts w:ascii="Century Gothic" w:eastAsia="Calibri" w:hAnsi="Century Gothic" w:cs="Calibri"/>
          <w:b/>
          <w:sz w:val="24"/>
          <w:szCs w:val="24"/>
        </w:rPr>
      </w:pPr>
    </w:p>
    <w:p w:rsidR="00BE2592" w:rsidRPr="00001242" w:rsidRDefault="00796CEE" w:rsidP="00001242">
      <w:pPr>
        <w:spacing w:after="160" w:line="259" w:lineRule="auto"/>
        <w:jc w:val="both"/>
        <w:rPr>
          <w:rFonts w:ascii="Century Gothic" w:eastAsia="Calibri" w:hAnsi="Century Gothic" w:cs="Calibri"/>
          <w:b/>
          <w:sz w:val="24"/>
          <w:szCs w:val="24"/>
          <w:lang w:val="en-US"/>
        </w:rPr>
      </w:pPr>
      <w:r w:rsidRPr="00001242">
        <w:rPr>
          <w:rFonts w:ascii="Century Gothic" w:eastAsia="Calibri" w:hAnsi="Century Gothic" w:cs="Calibri"/>
          <w:b/>
          <w:sz w:val="24"/>
          <w:szCs w:val="24"/>
          <w:lang w:val="en-US"/>
        </w:rPr>
        <w:t>KEYWORDS</w:t>
      </w:r>
    </w:p>
    <w:p w:rsidR="00BE2592" w:rsidRPr="00001242" w:rsidRDefault="00796CEE" w:rsidP="00001242">
      <w:pPr>
        <w:spacing w:after="160" w:line="259" w:lineRule="auto"/>
        <w:jc w:val="both"/>
        <w:rPr>
          <w:rFonts w:ascii="Century Gothic" w:eastAsia="Calibri" w:hAnsi="Century Gothic" w:cs="Calibri"/>
          <w:sz w:val="24"/>
          <w:szCs w:val="24"/>
          <w:lang w:val="en-US"/>
        </w:rPr>
      </w:pPr>
      <w:r w:rsidRPr="00001242">
        <w:rPr>
          <w:rFonts w:ascii="Century Gothic" w:eastAsia="Calibri" w:hAnsi="Century Gothic" w:cs="Calibri"/>
          <w:sz w:val="24"/>
          <w:szCs w:val="24"/>
          <w:lang w:val="en-US"/>
        </w:rPr>
        <w:t>Corporate social responsibility; Brand value; Attribution; Latent moderated structural equations</w:t>
      </w:r>
    </w:p>
    <w:p w:rsidR="00BE2592" w:rsidRPr="00001242" w:rsidRDefault="00BE2592" w:rsidP="00001242">
      <w:pPr>
        <w:spacing w:after="160" w:line="259" w:lineRule="auto"/>
        <w:jc w:val="both"/>
        <w:rPr>
          <w:rFonts w:ascii="Century Gothic" w:eastAsia="Calibri" w:hAnsi="Century Gothic" w:cs="Calibri"/>
          <w:sz w:val="24"/>
          <w:szCs w:val="24"/>
          <w:lang w:val="en-US"/>
        </w:rPr>
      </w:pPr>
    </w:p>
    <w:p w:rsidR="00BE2592" w:rsidRPr="00001242" w:rsidRDefault="00BE2592" w:rsidP="00001242">
      <w:pPr>
        <w:spacing w:after="160" w:line="259" w:lineRule="auto"/>
        <w:jc w:val="both"/>
        <w:rPr>
          <w:rFonts w:ascii="Century Gothic" w:eastAsia="Calibri" w:hAnsi="Century Gothic" w:cs="Calibri"/>
          <w:b/>
          <w:sz w:val="24"/>
          <w:szCs w:val="24"/>
          <w:lang w:val="en-US"/>
        </w:rPr>
      </w:pPr>
    </w:p>
    <w:p w:rsidR="00BE2592" w:rsidRPr="00001242" w:rsidRDefault="00BE2592" w:rsidP="00001242">
      <w:pPr>
        <w:spacing w:after="160" w:line="259" w:lineRule="auto"/>
        <w:jc w:val="both"/>
        <w:rPr>
          <w:rFonts w:ascii="Century Gothic" w:eastAsia="Calibri" w:hAnsi="Century Gothic" w:cs="Calibri"/>
          <w:b/>
          <w:sz w:val="24"/>
          <w:szCs w:val="24"/>
          <w:lang w:val="en-US"/>
        </w:rPr>
      </w:pPr>
    </w:p>
    <w:p w:rsidR="00BE2592" w:rsidRPr="00001242" w:rsidRDefault="00796CEE" w:rsidP="00001242">
      <w:pPr>
        <w:spacing w:after="160" w:line="259" w:lineRule="auto"/>
        <w:jc w:val="both"/>
        <w:rPr>
          <w:rFonts w:ascii="Century Gothic" w:eastAsia="Calibri" w:hAnsi="Century Gothic" w:cs="Calibri"/>
          <w:b/>
          <w:sz w:val="24"/>
          <w:szCs w:val="24"/>
        </w:rPr>
      </w:pPr>
      <w:r w:rsidRPr="00001242">
        <w:rPr>
          <w:rFonts w:ascii="Century Gothic" w:eastAsia="Calibri" w:hAnsi="Century Gothic" w:cs="Calibri"/>
          <w:b/>
          <w:sz w:val="24"/>
          <w:szCs w:val="24"/>
        </w:rPr>
        <w:t>INTRODUCCIÓN</w:t>
      </w:r>
    </w:p>
    <w:p w:rsidR="00BE2592" w:rsidRPr="00001242" w:rsidRDefault="00BE2592" w:rsidP="00001242">
      <w:pPr>
        <w:spacing w:after="160" w:line="259" w:lineRule="auto"/>
        <w:jc w:val="both"/>
        <w:rPr>
          <w:rFonts w:ascii="Century Gothic" w:eastAsia="Calibri" w:hAnsi="Century Gothic" w:cs="Calibri"/>
          <w:b/>
          <w:sz w:val="24"/>
          <w:szCs w:val="24"/>
        </w:rPr>
      </w:pPr>
    </w:p>
    <w:p w:rsidR="00BE2592" w:rsidRPr="00001242" w:rsidRDefault="00796CEE" w:rsidP="00001242">
      <w:pPr>
        <w:spacing w:after="160" w:line="259" w:lineRule="auto"/>
        <w:jc w:val="both"/>
        <w:rPr>
          <w:rFonts w:ascii="Century Gothic" w:eastAsia="Calibri" w:hAnsi="Century Gothic" w:cs="Calibri"/>
          <w:b/>
          <w:sz w:val="24"/>
          <w:szCs w:val="24"/>
        </w:rPr>
      </w:pPr>
      <w:r w:rsidRPr="00001242">
        <w:rPr>
          <w:rFonts w:ascii="Century Gothic" w:eastAsia="Calibri" w:hAnsi="Century Gothic" w:cs="Calibri"/>
          <w:b/>
          <w:sz w:val="24"/>
          <w:szCs w:val="24"/>
        </w:rPr>
        <w:t xml:space="preserve">EL “MARKETING ECOLÓGICO” Y LA RESPONSABILIDAD SOCIAL </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lastRenderedPageBreak/>
        <w:t>Como introducción al tema, iniciemos con un breve concepto y análisis del marketing en sí, sabemos que es la herramienta que las empresas utilizan para hacer conocer sus productos, las ventajas del consumo de los productos o servicios hacía sus clientes y la satisfacción de estos, para poder lograrlo es necesario aplicar el uso de estrategias para mejorar la rentabilidad, en términos económicos y dejar en una mejor situación a la imagen de la empresa.</w:t>
      </w:r>
    </w:p>
    <w:p w:rsidR="00BE2592" w:rsidRPr="00001242" w:rsidRDefault="00BE2592" w:rsidP="00001242">
      <w:pPr>
        <w:spacing w:after="160" w:line="259" w:lineRule="auto"/>
        <w:jc w:val="both"/>
        <w:rPr>
          <w:rFonts w:ascii="Century Gothic" w:eastAsia="Calibri" w:hAnsi="Century Gothic" w:cs="Calibri"/>
          <w:sz w:val="24"/>
          <w:szCs w:val="24"/>
        </w:rPr>
      </w:pP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Existe una división o rama del marketing denominado </w:t>
      </w:r>
      <w:proofErr w:type="spellStart"/>
      <w:r w:rsidRPr="00001242">
        <w:rPr>
          <w:rFonts w:ascii="Century Gothic" w:eastAsia="Calibri" w:hAnsi="Century Gothic" w:cs="Calibri"/>
          <w:sz w:val="24"/>
          <w:szCs w:val="24"/>
        </w:rPr>
        <w:t>arketing</w:t>
      </w:r>
      <w:proofErr w:type="spellEnd"/>
      <w:r w:rsidRPr="00001242">
        <w:rPr>
          <w:rFonts w:ascii="Century Gothic" w:eastAsia="Calibri" w:hAnsi="Century Gothic" w:cs="Calibri"/>
          <w:sz w:val="24"/>
          <w:szCs w:val="24"/>
        </w:rPr>
        <w:t xml:space="preserve"> Verde, también lla­mado Marketing Ecológico o Marketing Sustentable, este incorpora el concepto de ser Eco </w:t>
      </w:r>
      <w:proofErr w:type="spellStart"/>
      <w:r w:rsidRPr="00001242">
        <w:rPr>
          <w:rFonts w:ascii="Century Gothic" w:eastAsia="Calibri" w:hAnsi="Century Gothic" w:cs="Calibri"/>
          <w:sz w:val="24"/>
          <w:szCs w:val="24"/>
        </w:rPr>
        <w:t>Friendly</w:t>
      </w:r>
      <w:proofErr w:type="spellEnd"/>
      <w:r w:rsidRPr="00001242">
        <w:rPr>
          <w:rFonts w:ascii="Century Gothic" w:eastAsia="Calibri" w:hAnsi="Century Gothic" w:cs="Calibri"/>
          <w:sz w:val="24"/>
          <w:szCs w:val="24"/>
        </w:rPr>
        <w:t xml:space="preserve"> (amigable con el ambiente). Definido por la American Marketing </w:t>
      </w:r>
      <w:proofErr w:type="spellStart"/>
      <w:r w:rsidRPr="00001242">
        <w:rPr>
          <w:rFonts w:ascii="Century Gothic" w:eastAsia="Calibri" w:hAnsi="Century Gothic" w:cs="Calibri"/>
          <w:sz w:val="24"/>
          <w:szCs w:val="24"/>
        </w:rPr>
        <w:t>Association</w:t>
      </w:r>
      <w:proofErr w:type="spellEnd"/>
      <w:r w:rsidRPr="00001242">
        <w:rPr>
          <w:rFonts w:ascii="Century Gothic" w:eastAsia="Calibri" w:hAnsi="Century Gothic" w:cs="Calibri"/>
          <w:sz w:val="24"/>
          <w:szCs w:val="24"/>
        </w:rPr>
        <w:t xml:space="preserve"> (Asociación de Marketing Americana) como “el marketing de productos que son seguros para el medio am­biente” con el cual se notan las siguientes funciones y acciones: elaborar productos y/o servicios que tomen en cuenta tanto el producto, su cadena de valor, la venta y el uso que el cliente le dará a los desechos (envoltura, empaque, etc.).</w:t>
      </w:r>
    </w:p>
    <w:p w:rsidR="00BE2592" w:rsidRPr="00001242" w:rsidRDefault="00BE2592" w:rsidP="00001242">
      <w:pPr>
        <w:spacing w:after="160" w:line="259" w:lineRule="auto"/>
        <w:jc w:val="both"/>
        <w:rPr>
          <w:rFonts w:ascii="Century Gothic" w:eastAsia="Calibri" w:hAnsi="Century Gothic" w:cs="Calibri"/>
          <w:sz w:val="24"/>
          <w:szCs w:val="24"/>
        </w:rPr>
      </w:pPr>
    </w:p>
    <w:p w:rsidR="00BE2592" w:rsidRPr="00001242" w:rsidRDefault="00796CEE" w:rsidP="00001242">
      <w:pPr>
        <w:spacing w:after="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Philip </w:t>
      </w:r>
      <w:proofErr w:type="spellStart"/>
      <w:r w:rsidRPr="00001242">
        <w:rPr>
          <w:rFonts w:ascii="Century Gothic" w:eastAsia="Calibri" w:hAnsi="Century Gothic" w:cs="Calibri"/>
          <w:sz w:val="24"/>
          <w:szCs w:val="24"/>
        </w:rPr>
        <w:t>Kot­ler</w:t>
      </w:r>
      <w:proofErr w:type="spellEnd"/>
      <w:r w:rsidRPr="00001242">
        <w:rPr>
          <w:rFonts w:ascii="Century Gothic" w:eastAsia="Calibri" w:hAnsi="Century Gothic" w:cs="Calibri"/>
          <w:sz w:val="24"/>
          <w:szCs w:val="24"/>
        </w:rPr>
        <w:t xml:space="preserve">, estadounidense economista y especialista en el área de mercadeo, plantea e integra al concepto conocido de Marketing Ecológico una función mediadora con el consumidor y el interés público, el uso de los recursos naturales, organizacionales y humanos como reservas no renovables del planeta. </w:t>
      </w:r>
    </w:p>
    <w:p w:rsidR="00BE2592" w:rsidRPr="00001242" w:rsidRDefault="00BE2592" w:rsidP="00001242">
      <w:pPr>
        <w:spacing w:after="0" w:line="259" w:lineRule="auto"/>
        <w:jc w:val="both"/>
        <w:rPr>
          <w:rFonts w:ascii="Century Gothic" w:eastAsia="Calibri" w:hAnsi="Century Gothic" w:cs="Calibri"/>
          <w:sz w:val="24"/>
          <w:szCs w:val="24"/>
        </w:rPr>
      </w:pPr>
    </w:p>
    <w:p w:rsidR="00BE2592" w:rsidRPr="00001242" w:rsidRDefault="00796CEE" w:rsidP="00001242">
      <w:pPr>
        <w:spacing w:after="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Antes de seguir con el tema, seguramente nos hemos planteado la siguiente interrogante ¿Qué es un producto verde? Este es un concepto que no se aplica al 100%, es decir, aunque el producto sea verde en gran o poca proporción, todo el proceso de producción no lo es, así que de la misma forma sigue contaminando, se puede aclarar que inclusive producir productos amigables al ambiente es dañino para este. Para ser más cercanos al concepto o denominación de producto verde, este debe cumplir estrictas normas en toda la cadena de producción o fabricación respetando el medio ambiente.</w:t>
      </w:r>
    </w:p>
    <w:p w:rsidR="00BE2592" w:rsidRPr="00001242" w:rsidRDefault="00BE2592" w:rsidP="00001242">
      <w:pPr>
        <w:spacing w:after="0" w:line="259" w:lineRule="auto"/>
        <w:jc w:val="both"/>
        <w:rPr>
          <w:rFonts w:ascii="Century Gothic" w:eastAsia="Calibri" w:hAnsi="Century Gothic" w:cs="Calibri"/>
          <w:sz w:val="24"/>
          <w:szCs w:val="24"/>
        </w:rPr>
      </w:pP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En cuestiones de la variable ecológica, también existe competencia, existe un amplio margen de consumidores que buscan y gobiernos que permiten únicamente eco productos, siendo este un valor agregado y que diferencia dicho producto del resto, además de esto, producir esta clase de productos mejora la imagen de la empresa en sí. Estudios realizados por </w:t>
      </w:r>
      <w:r w:rsidRPr="00001242">
        <w:rPr>
          <w:rFonts w:ascii="Century Gothic" w:eastAsia="Calibri" w:hAnsi="Century Gothic" w:cs="Calibri"/>
          <w:sz w:val="24"/>
          <w:szCs w:val="24"/>
        </w:rPr>
        <w:lastRenderedPageBreak/>
        <w:t xml:space="preserve">la firma canadiense consultora en medio ambiente y marketing han </w:t>
      </w:r>
      <w:r w:rsidR="00BC75B9" w:rsidRPr="00001242">
        <w:rPr>
          <w:rFonts w:ascii="Century Gothic" w:eastAsia="Calibri" w:hAnsi="Century Gothic" w:cs="Calibri"/>
          <w:sz w:val="24"/>
          <w:szCs w:val="24"/>
        </w:rPr>
        <w:t>demostrado</w:t>
      </w:r>
      <w:r w:rsidRPr="00001242">
        <w:rPr>
          <w:rFonts w:ascii="Century Gothic" w:eastAsia="Calibri" w:hAnsi="Century Gothic" w:cs="Calibri"/>
          <w:sz w:val="24"/>
          <w:szCs w:val="24"/>
        </w:rPr>
        <w:t xml:space="preserve"> que "tan sólo el 2% del número de los autoproclamados productos ver­des o ecológicos en las tiendas, cumplen plenamente con lo que anuncian en sus etiquetas". </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Los consumidores buscan, ca­da vez más, productos amiga­bles con el planeta, sin embargo la publicidad no es su fuente de información, prefieren documen­tarse de los organismos que cer­tifican y de fuentes independien­tes que les permitan identificar la veracidad de los contenidos que encuentran en las etiquetas y co­merciales. </w:t>
      </w:r>
    </w:p>
    <w:p w:rsidR="00BE2592" w:rsidRPr="00001242" w:rsidRDefault="00BE2592" w:rsidP="00001242">
      <w:pPr>
        <w:spacing w:after="160" w:line="259" w:lineRule="auto"/>
        <w:jc w:val="both"/>
        <w:rPr>
          <w:rFonts w:ascii="Century Gothic" w:eastAsia="Calibri" w:hAnsi="Century Gothic" w:cs="Calibri"/>
          <w:sz w:val="24"/>
          <w:szCs w:val="24"/>
        </w:rPr>
      </w:pP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Este tipo de publicidad que usa como enganche el tema ecológi­co, pero que confunde al consu­midor, genera incredulidad y des­confianza en la sociedad debido a la cantidad de engaños, no sólo hacia las empresas que realizan un trabajo responsable y com­prometido, sino también hacia las políticas públicas enfocadas a preservar el ambiente. Por ende es necesario tener un alto nivel de moralidad y ética para lanzar un producto y llamarlo verde sin falsear nada.</w:t>
      </w:r>
    </w:p>
    <w:p w:rsidR="00BE2592" w:rsidRPr="00001242" w:rsidRDefault="00BE2592" w:rsidP="00001242">
      <w:pPr>
        <w:spacing w:after="160" w:line="259" w:lineRule="auto"/>
        <w:jc w:val="both"/>
        <w:rPr>
          <w:rFonts w:ascii="Century Gothic" w:eastAsia="Calibri" w:hAnsi="Century Gothic" w:cs="Calibri"/>
          <w:sz w:val="24"/>
          <w:szCs w:val="24"/>
        </w:rPr>
      </w:pPr>
    </w:p>
    <w:p w:rsidR="00BE2592" w:rsidRPr="00001242" w:rsidRDefault="00796CEE" w:rsidP="00001242">
      <w:pPr>
        <w:spacing w:after="160" w:line="259" w:lineRule="auto"/>
        <w:jc w:val="both"/>
        <w:rPr>
          <w:rFonts w:ascii="Century Gothic" w:eastAsia="Calibri" w:hAnsi="Century Gothic" w:cs="Calibri"/>
          <w:b/>
          <w:sz w:val="24"/>
          <w:szCs w:val="24"/>
        </w:rPr>
      </w:pPr>
      <w:r w:rsidRPr="00001242">
        <w:rPr>
          <w:rFonts w:ascii="Century Gothic" w:eastAsia="Calibri" w:hAnsi="Century Gothic" w:cs="Calibri"/>
          <w:b/>
          <w:sz w:val="24"/>
          <w:szCs w:val="24"/>
        </w:rPr>
        <w:t xml:space="preserve">PECADOS DEL MARKETING VERDE ENGAÑOSO </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Según los estudios realizados hemos llegado a la conclusión de que gran cantidad de pro­ductos en el mercado realizan </w:t>
      </w:r>
      <w:proofErr w:type="spellStart"/>
      <w:r w:rsidRPr="00001242">
        <w:rPr>
          <w:rFonts w:ascii="Century Gothic" w:eastAsia="Calibri" w:hAnsi="Century Gothic" w:cs="Calibri"/>
          <w:sz w:val="24"/>
          <w:szCs w:val="24"/>
        </w:rPr>
        <w:t>greenwashing</w:t>
      </w:r>
      <w:proofErr w:type="spellEnd"/>
      <w:r w:rsidRPr="00001242">
        <w:rPr>
          <w:rFonts w:ascii="Century Gothic" w:eastAsia="Calibri" w:hAnsi="Century Gothic" w:cs="Calibri"/>
          <w:sz w:val="24"/>
          <w:szCs w:val="24"/>
        </w:rPr>
        <w:t xml:space="preserve"> que es un lavado verde, falsedad ecológica y estas son algunas de esas falsedades y engaños que usan: </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1. Ocultan información muy relevante e importante. </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2. Falta de pruebas que verifi­quen sus afirmaciones “verdes”. </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3. </w:t>
      </w:r>
      <w:proofErr w:type="spellStart"/>
      <w:r w:rsidRPr="00001242">
        <w:rPr>
          <w:rFonts w:ascii="Century Gothic" w:eastAsia="Calibri" w:hAnsi="Century Gothic" w:cs="Calibri"/>
          <w:sz w:val="24"/>
          <w:szCs w:val="24"/>
        </w:rPr>
        <w:t>Amibigüedad</w:t>
      </w:r>
      <w:proofErr w:type="spellEnd"/>
      <w:r w:rsidRPr="00001242">
        <w:rPr>
          <w:rFonts w:ascii="Century Gothic" w:eastAsia="Calibri" w:hAnsi="Century Gothic" w:cs="Calibri"/>
          <w:sz w:val="24"/>
          <w:szCs w:val="24"/>
        </w:rPr>
        <w:t xml:space="preserve"> e imprecisión al momento de denominar ecológico o verde a un producto sin especificar por qué lo es.</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4. Afirmación irrelevante de ventajas que en realidad cualquier producto tiene. </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5. Falsos certificados de cumplir normas sin que realmente hayan sido certificados por alguna institución real.</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6. Mienten publicando 2 o 3 beneficios y ocultan 10 u 11 </w:t>
      </w:r>
      <w:r w:rsidR="00001242" w:rsidRPr="00001242">
        <w:rPr>
          <w:rFonts w:ascii="Century Gothic" w:eastAsia="Calibri" w:hAnsi="Century Gothic" w:cs="Calibri"/>
          <w:sz w:val="24"/>
          <w:szCs w:val="24"/>
        </w:rPr>
        <w:t>características</w:t>
      </w:r>
      <w:r w:rsidRPr="00001242">
        <w:rPr>
          <w:rFonts w:ascii="Century Gothic" w:eastAsia="Calibri" w:hAnsi="Century Gothic" w:cs="Calibri"/>
          <w:sz w:val="24"/>
          <w:szCs w:val="24"/>
        </w:rPr>
        <w:t xml:space="preserve"> </w:t>
      </w:r>
      <w:r w:rsidR="00001242" w:rsidRPr="00001242">
        <w:rPr>
          <w:rFonts w:ascii="Century Gothic" w:eastAsia="Calibri" w:hAnsi="Century Gothic" w:cs="Calibri"/>
          <w:sz w:val="24"/>
          <w:szCs w:val="24"/>
        </w:rPr>
        <w:t>nocivas</w:t>
      </w:r>
      <w:r w:rsidRPr="00001242">
        <w:rPr>
          <w:rFonts w:ascii="Century Gothic" w:eastAsia="Calibri" w:hAnsi="Century Gothic" w:cs="Calibri"/>
          <w:sz w:val="24"/>
          <w:szCs w:val="24"/>
        </w:rPr>
        <w:t>.</w:t>
      </w:r>
    </w:p>
    <w:p w:rsidR="00BE2592" w:rsidRPr="00001242" w:rsidRDefault="00BE2592" w:rsidP="00001242">
      <w:pPr>
        <w:spacing w:after="160" w:line="259" w:lineRule="auto"/>
        <w:jc w:val="both"/>
        <w:rPr>
          <w:rFonts w:ascii="Century Gothic" w:eastAsia="Calibri" w:hAnsi="Century Gothic" w:cs="Calibri"/>
          <w:sz w:val="24"/>
          <w:szCs w:val="24"/>
        </w:rPr>
      </w:pPr>
    </w:p>
    <w:p w:rsidR="00BE2592" w:rsidRPr="00001242" w:rsidRDefault="00796CEE" w:rsidP="00001242">
      <w:pPr>
        <w:spacing w:after="160" w:line="259" w:lineRule="auto"/>
        <w:jc w:val="both"/>
        <w:rPr>
          <w:rFonts w:ascii="Century Gothic" w:eastAsia="Calibri" w:hAnsi="Century Gothic" w:cs="Calibri"/>
          <w:b/>
          <w:sz w:val="24"/>
          <w:szCs w:val="24"/>
        </w:rPr>
      </w:pPr>
      <w:r w:rsidRPr="00001242">
        <w:rPr>
          <w:rFonts w:ascii="Century Gothic" w:eastAsia="Calibri" w:hAnsi="Century Gothic" w:cs="Calibri"/>
          <w:b/>
          <w:sz w:val="24"/>
          <w:szCs w:val="24"/>
        </w:rPr>
        <w:lastRenderedPageBreak/>
        <w:t>EMPRESAS CON INICIATIVAS VERDES EN ECUADOR</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 xml:space="preserve">Grandes compañías a nivel mundial han tratado de poner su granito de arena, en el Ecuador son pocas una de ellas es Corporación "La Favorita" que en su Supermercado </w:t>
      </w:r>
      <w:proofErr w:type="spellStart"/>
      <w:r w:rsidRPr="00001242">
        <w:rPr>
          <w:rFonts w:ascii="Century Gothic" w:eastAsia="Calibri" w:hAnsi="Century Gothic" w:cs="Calibri"/>
          <w:sz w:val="24"/>
          <w:szCs w:val="24"/>
        </w:rPr>
        <w:t>Supermaxi</w:t>
      </w:r>
      <w:proofErr w:type="spellEnd"/>
      <w:r w:rsidRPr="00001242">
        <w:rPr>
          <w:rFonts w:ascii="Century Gothic" w:eastAsia="Calibri" w:hAnsi="Century Gothic" w:cs="Calibri"/>
          <w:sz w:val="24"/>
          <w:szCs w:val="24"/>
        </w:rPr>
        <w:t xml:space="preserve"> ha implementado la venta y uso de fundas ecológicas, evitando el uso de las fundas comunes que toman mucho tiempo en degradarse y contaminan el medio ambiente.</w:t>
      </w:r>
    </w:p>
    <w:p w:rsidR="00BE2592" w:rsidRPr="00001242" w:rsidRDefault="00796CEE" w:rsidP="00001242">
      <w:pPr>
        <w:spacing w:after="160" w:line="259" w:lineRule="auto"/>
        <w:jc w:val="both"/>
        <w:rPr>
          <w:rFonts w:ascii="Century Gothic" w:eastAsia="Calibri" w:hAnsi="Century Gothic" w:cs="Calibri"/>
          <w:sz w:val="24"/>
          <w:szCs w:val="24"/>
        </w:rPr>
      </w:pPr>
      <w:r w:rsidRPr="00001242">
        <w:rPr>
          <w:rFonts w:ascii="Century Gothic" w:eastAsia="Calibri" w:hAnsi="Century Gothic" w:cs="Calibri"/>
          <w:sz w:val="24"/>
          <w:szCs w:val="24"/>
        </w:rPr>
        <w:t>Está claro que se debe buscar más maneras de ayudar al medio ambiente, en especial las empresas ya que colaboran y al mismo tiempo dan una mejor imagen hacía los consumidores quienes preferirán esa marca sobre otras por el sello verde.</w:t>
      </w:r>
    </w:p>
    <w:p w:rsidR="00796CEE" w:rsidRPr="00001242" w:rsidRDefault="00796CEE" w:rsidP="00001242">
      <w:pPr>
        <w:spacing w:after="160" w:line="259" w:lineRule="auto"/>
        <w:jc w:val="both"/>
        <w:rPr>
          <w:rFonts w:ascii="Century Gothic" w:eastAsia="Calibri" w:hAnsi="Century Gothic" w:cs="Calibri"/>
          <w:sz w:val="24"/>
          <w:szCs w:val="24"/>
        </w:rPr>
      </w:pPr>
    </w:p>
    <w:sdt>
      <w:sdtPr>
        <w:rPr>
          <w:rFonts w:ascii="Century Gothic" w:eastAsiaTheme="minorHAnsi" w:hAnsi="Century Gothic" w:cstheme="minorBidi"/>
          <w:color w:val="auto"/>
          <w:sz w:val="24"/>
          <w:szCs w:val="24"/>
          <w:lang w:val="es-ES" w:eastAsia="en-US"/>
        </w:rPr>
        <w:id w:val="-1707706165"/>
        <w:docPartObj>
          <w:docPartGallery w:val="Bibliographies"/>
          <w:docPartUnique/>
        </w:docPartObj>
      </w:sdtPr>
      <w:sdtEndPr>
        <w:rPr>
          <w:rFonts w:eastAsiaTheme="minorEastAsia"/>
          <w:lang w:val="es-EC" w:eastAsia="es-EC"/>
        </w:rPr>
      </w:sdtEndPr>
      <w:sdtContent>
        <w:p w:rsidR="00796CEE" w:rsidRPr="00001242" w:rsidRDefault="00796CEE" w:rsidP="00001242">
          <w:pPr>
            <w:pStyle w:val="Ttulo1"/>
            <w:jc w:val="both"/>
            <w:rPr>
              <w:rFonts w:ascii="Century Gothic" w:hAnsi="Century Gothic" w:cs="Times New Roman"/>
              <w:color w:val="auto"/>
              <w:sz w:val="24"/>
              <w:szCs w:val="24"/>
            </w:rPr>
          </w:pPr>
          <w:r w:rsidRPr="00001242">
            <w:rPr>
              <w:rFonts w:ascii="Century Gothic" w:hAnsi="Century Gothic" w:cs="Times New Roman"/>
              <w:color w:val="auto"/>
              <w:sz w:val="24"/>
              <w:szCs w:val="24"/>
              <w:lang w:val="es-ES"/>
            </w:rPr>
            <w:t>BIBLIOGRAFÍA</w:t>
          </w:r>
        </w:p>
        <w:sdt>
          <w:sdtPr>
            <w:rPr>
              <w:rFonts w:ascii="Century Gothic" w:eastAsiaTheme="minorEastAsia" w:hAnsi="Century Gothic" w:cs="Times New Roman"/>
              <w:sz w:val="24"/>
              <w:szCs w:val="24"/>
              <w:lang w:eastAsia="es-EC"/>
            </w:rPr>
            <w:id w:val="111145805"/>
            <w:bibliography/>
          </w:sdtPr>
          <w:sdtEndPr>
            <w:rPr>
              <w:rFonts w:cstheme="minorBidi"/>
            </w:rPr>
          </w:sdtEndPr>
          <w:sdtContent>
            <w:p w:rsidR="00796CEE" w:rsidRPr="00001242" w:rsidRDefault="00796CEE" w:rsidP="00001242">
              <w:pPr>
                <w:pStyle w:val="Bibliografa"/>
                <w:ind w:left="720" w:hanging="720"/>
                <w:jc w:val="both"/>
                <w:rPr>
                  <w:rFonts w:ascii="Century Gothic" w:hAnsi="Century Gothic"/>
                  <w:noProof/>
                  <w:sz w:val="24"/>
                  <w:szCs w:val="24"/>
                  <w:lang w:val="es-ES"/>
                </w:rPr>
              </w:pPr>
              <w:r w:rsidRPr="00001242">
                <w:rPr>
                  <w:rFonts w:ascii="Century Gothic" w:hAnsi="Century Gothic" w:cs="Times New Roman"/>
                  <w:sz w:val="24"/>
                  <w:szCs w:val="24"/>
                </w:rPr>
                <w:fldChar w:fldCharType="begin"/>
              </w:r>
              <w:r w:rsidRPr="00001242">
                <w:rPr>
                  <w:rFonts w:ascii="Century Gothic" w:hAnsi="Century Gothic" w:cs="Times New Roman"/>
                  <w:sz w:val="24"/>
                  <w:szCs w:val="24"/>
                </w:rPr>
                <w:instrText>BIBLIOGRAPHY</w:instrText>
              </w:r>
              <w:r w:rsidRPr="00001242">
                <w:rPr>
                  <w:rFonts w:ascii="Century Gothic" w:hAnsi="Century Gothic" w:cs="Times New Roman"/>
                  <w:sz w:val="24"/>
                  <w:szCs w:val="24"/>
                </w:rPr>
                <w:fldChar w:fldCharType="separate"/>
              </w:r>
              <w:r w:rsidRPr="00001242">
                <w:rPr>
                  <w:rFonts w:ascii="Century Gothic" w:hAnsi="Century Gothic"/>
                  <w:noProof/>
                  <w:sz w:val="24"/>
                  <w:szCs w:val="24"/>
                  <w:lang w:val="es-ES"/>
                </w:rPr>
                <w:t xml:space="preserve">Balado, C. (2006). La obra social de las cajas: Un paso siempre por delante en RSC. </w:t>
              </w:r>
              <w:r w:rsidRPr="00001242">
                <w:rPr>
                  <w:rFonts w:ascii="Century Gothic" w:hAnsi="Century Gothic"/>
                  <w:i/>
                  <w:iCs/>
                  <w:noProof/>
                  <w:sz w:val="24"/>
                  <w:szCs w:val="24"/>
                  <w:lang w:val="es-ES"/>
                </w:rPr>
                <w:t>Papeles de Economía Española</w:t>
              </w:r>
              <w:r w:rsidRPr="00001242">
                <w:rPr>
                  <w:rFonts w:ascii="Century Gothic" w:hAnsi="Century Gothic"/>
                  <w:noProof/>
                  <w:sz w:val="24"/>
                  <w:szCs w:val="24"/>
                  <w:lang w:val="es-ES"/>
                </w:rPr>
                <w:t>, 144–160.</w:t>
              </w:r>
            </w:p>
            <w:p w:rsidR="00796CEE" w:rsidRPr="00001242" w:rsidRDefault="00796CEE" w:rsidP="00001242">
              <w:pPr>
                <w:pStyle w:val="Bibliografa"/>
                <w:ind w:left="720" w:hanging="720"/>
                <w:jc w:val="both"/>
                <w:rPr>
                  <w:rFonts w:ascii="Century Gothic" w:hAnsi="Century Gothic"/>
                  <w:noProof/>
                  <w:sz w:val="24"/>
                  <w:szCs w:val="24"/>
                  <w:lang w:val="es-ES"/>
                </w:rPr>
              </w:pPr>
              <w:r w:rsidRPr="00001242">
                <w:rPr>
                  <w:rFonts w:ascii="Century Gothic" w:hAnsi="Century Gothic"/>
                  <w:noProof/>
                  <w:sz w:val="24"/>
                  <w:szCs w:val="24"/>
                  <w:lang w:val="es-ES"/>
                </w:rPr>
                <w:t xml:space="preserve">Ruiz, G. (2004). G. Ruiz. En </w:t>
              </w:r>
              <w:r w:rsidRPr="00001242">
                <w:rPr>
                  <w:rFonts w:ascii="Century Gothic" w:hAnsi="Century Gothic"/>
                  <w:i/>
                  <w:iCs/>
                  <w:noProof/>
                  <w:sz w:val="24"/>
                  <w:szCs w:val="24"/>
                  <w:lang w:val="es-ES"/>
                </w:rPr>
                <w:t>Cuando ser bueno es negocio.</w:t>
              </w:r>
              <w:r w:rsidRPr="00001242">
                <w:rPr>
                  <w:rFonts w:ascii="Century Gothic" w:hAnsi="Century Gothic"/>
                  <w:noProof/>
                  <w:sz w:val="24"/>
                  <w:szCs w:val="24"/>
                  <w:lang w:val="es-ES"/>
                </w:rPr>
                <w:t xml:space="preserve"> México: Expansión.</w:t>
              </w:r>
            </w:p>
            <w:p w:rsidR="00796CEE" w:rsidRPr="00001242" w:rsidRDefault="00796CEE" w:rsidP="00001242">
              <w:pPr>
                <w:pStyle w:val="Bibliografa"/>
                <w:jc w:val="both"/>
                <w:rPr>
                  <w:rFonts w:ascii="Century Gothic" w:hAnsi="Century Gothic"/>
                  <w:noProof/>
                  <w:sz w:val="24"/>
                  <w:szCs w:val="24"/>
                  <w:lang w:val="es-ES"/>
                </w:rPr>
              </w:pPr>
              <w:r w:rsidRPr="00001242">
                <w:rPr>
                  <w:rFonts w:ascii="Century Gothic" w:hAnsi="Century Gothic"/>
                  <w:noProof/>
                  <w:sz w:val="24"/>
                  <w:szCs w:val="24"/>
                  <w:lang w:val="es-ES"/>
                </w:rPr>
                <w:t>Cortina, A. (2002). La naturaleza pública de las éticas aplicadas.</w:t>
              </w:r>
            </w:p>
            <w:p w:rsidR="00796CEE" w:rsidRPr="00001242" w:rsidRDefault="00796CEE" w:rsidP="00001242">
              <w:pPr>
                <w:pStyle w:val="Bibliografa"/>
                <w:ind w:left="720" w:hanging="720"/>
                <w:jc w:val="both"/>
                <w:rPr>
                  <w:rFonts w:ascii="Century Gothic" w:hAnsi="Century Gothic"/>
                  <w:noProof/>
                  <w:sz w:val="24"/>
                  <w:szCs w:val="24"/>
                  <w:lang w:val="en-US"/>
                </w:rPr>
              </w:pPr>
              <w:r w:rsidRPr="00001242">
                <w:rPr>
                  <w:rFonts w:ascii="Century Gothic" w:hAnsi="Century Gothic"/>
                  <w:noProof/>
                  <w:sz w:val="24"/>
                  <w:szCs w:val="24"/>
                  <w:lang w:val="en-US"/>
                </w:rPr>
                <w:t xml:space="preserve">Donaldson, T. (s.f.). </w:t>
              </w:r>
              <w:r w:rsidRPr="00001242">
                <w:rPr>
                  <w:rFonts w:ascii="Century Gothic" w:hAnsi="Century Gothic"/>
                  <w:i/>
                  <w:iCs/>
                  <w:noProof/>
                  <w:sz w:val="24"/>
                  <w:szCs w:val="24"/>
                  <w:lang w:val="en-US"/>
                </w:rPr>
                <w:t>Corporations and Morality.</w:t>
              </w:r>
              <w:r w:rsidRPr="00001242">
                <w:rPr>
                  <w:rFonts w:ascii="Century Gothic" w:hAnsi="Century Gothic"/>
                  <w:noProof/>
                  <w:sz w:val="24"/>
                  <w:szCs w:val="24"/>
                  <w:lang w:val="en-US"/>
                </w:rPr>
                <w:t xml:space="preserve"> Prentice Hall, Englewood Cliff, NJ.</w:t>
              </w:r>
            </w:p>
            <w:p w:rsidR="00796CEE" w:rsidRPr="00001242" w:rsidRDefault="00796CEE" w:rsidP="00001242">
              <w:pPr>
                <w:pStyle w:val="Bibliografa"/>
                <w:ind w:left="720" w:hanging="720"/>
                <w:jc w:val="both"/>
                <w:rPr>
                  <w:rFonts w:ascii="Century Gothic" w:hAnsi="Century Gothic"/>
                  <w:noProof/>
                  <w:sz w:val="24"/>
                  <w:szCs w:val="24"/>
                  <w:lang w:val="en-US"/>
                </w:rPr>
              </w:pPr>
              <w:r w:rsidRPr="00001242">
                <w:rPr>
                  <w:rFonts w:ascii="Century Gothic" w:hAnsi="Century Gothic"/>
                  <w:noProof/>
                  <w:sz w:val="24"/>
                  <w:szCs w:val="24"/>
                  <w:lang w:val="es-ES"/>
                </w:rPr>
                <w:t xml:space="preserve">J. Cambra-Fierro, Y. P.-R. (2007). </w:t>
              </w:r>
              <w:r w:rsidRPr="00001242">
                <w:rPr>
                  <w:rFonts w:ascii="Century Gothic" w:hAnsi="Century Gothic"/>
                  <w:noProof/>
                  <w:sz w:val="24"/>
                  <w:szCs w:val="24"/>
                  <w:lang w:val="en-US"/>
                </w:rPr>
                <w:t xml:space="preserve">The Influence of an Organization's Corporate Values on Employees Personal Buying Behaviour. </w:t>
              </w:r>
              <w:r w:rsidRPr="00001242">
                <w:rPr>
                  <w:rFonts w:ascii="Century Gothic" w:hAnsi="Century Gothic"/>
                  <w:i/>
                  <w:iCs/>
                  <w:noProof/>
                  <w:sz w:val="24"/>
                  <w:szCs w:val="24"/>
                  <w:lang w:val="en-US"/>
                </w:rPr>
                <w:t>Journal of Business Ethics</w:t>
              </w:r>
              <w:r w:rsidRPr="00001242">
                <w:rPr>
                  <w:rFonts w:ascii="Century Gothic" w:hAnsi="Century Gothic"/>
                  <w:noProof/>
                  <w:sz w:val="24"/>
                  <w:szCs w:val="24"/>
                  <w:lang w:val="en-US"/>
                </w:rPr>
                <w:t>, págs. 157–167.</w:t>
              </w:r>
            </w:p>
            <w:p w:rsidR="00796CEE" w:rsidRPr="00001242" w:rsidRDefault="00796CEE" w:rsidP="00001242">
              <w:pPr>
                <w:pStyle w:val="Bibliografa"/>
                <w:ind w:left="720" w:hanging="720"/>
                <w:jc w:val="both"/>
                <w:rPr>
                  <w:rFonts w:ascii="Century Gothic" w:hAnsi="Century Gothic"/>
                  <w:noProof/>
                  <w:sz w:val="24"/>
                  <w:szCs w:val="24"/>
                  <w:lang w:val="en-US"/>
                </w:rPr>
              </w:pPr>
              <w:r w:rsidRPr="00001242">
                <w:rPr>
                  <w:rFonts w:ascii="Century Gothic" w:hAnsi="Century Gothic"/>
                  <w:noProof/>
                  <w:sz w:val="24"/>
                  <w:szCs w:val="24"/>
                  <w:lang w:val="en-US"/>
                </w:rPr>
                <w:t>Brockner, J.and Hayes, E. (2008).Toward an understanding of when executives see crisis as opportunity The Journal of Applied Behavioral Science, 44 (1), 94-115.</w:t>
              </w:r>
            </w:p>
            <w:p w:rsidR="00796CEE" w:rsidRPr="00001242" w:rsidRDefault="00796CEE" w:rsidP="00001242">
              <w:pPr>
                <w:jc w:val="both"/>
                <w:rPr>
                  <w:rFonts w:ascii="Century Gothic" w:hAnsi="Century Gothic"/>
                  <w:sz w:val="24"/>
                  <w:szCs w:val="24"/>
                  <w:lang w:val="en-US"/>
                </w:rPr>
              </w:pPr>
              <w:r w:rsidRPr="00001242">
                <w:rPr>
                  <w:rFonts w:ascii="Century Gothic" w:hAnsi="Century Gothic"/>
                  <w:sz w:val="24"/>
                  <w:szCs w:val="24"/>
                  <w:lang w:val="en-US"/>
                </w:rPr>
                <w:t>Clark, B., Abela, A. and Ambler, T. (2006). Behind the wheel. Marketing Management, 15 (3), 18-23.</w:t>
              </w:r>
            </w:p>
            <w:p w:rsidR="00796CEE" w:rsidRPr="00001242" w:rsidRDefault="00796CEE" w:rsidP="00001242">
              <w:pPr>
                <w:pStyle w:val="Bibliografa"/>
                <w:jc w:val="both"/>
                <w:rPr>
                  <w:rFonts w:ascii="Century Gothic" w:hAnsi="Century Gothic"/>
                  <w:noProof/>
                  <w:sz w:val="24"/>
                  <w:szCs w:val="24"/>
                  <w:lang w:val="en-US"/>
                </w:rPr>
              </w:pPr>
              <w:r w:rsidRPr="00001242">
                <w:rPr>
                  <w:rFonts w:ascii="Century Gothic" w:hAnsi="Century Gothic"/>
                  <w:noProof/>
                  <w:sz w:val="24"/>
                  <w:szCs w:val="24"/>
                  <w:lang w:val="en-US"/>
                </w:rPr>
                <w:t>Apaydin, F. (2011).Changes in marketing strategies and performance outcomes of Turkish firms in 2008 global economic recession. International Business Research, 4 (4), 104-114.</w:t>
              </w:r>
            </w:p>
            <w:p w:rsidR="00796CEE" w:rsidRPr="00001242" w:rsidRDefault="00796CEE" w:rsidP="00001242">
              <w:pPr>
                <w:jc w:val="both"/>
                <w:rPr>
                  <w:rFonts w:ascii="Century Gothic" w:hAnsi="Century Gothic"/>
                  <w:sz w:val="24"/>
                  <w:szCs w:val="24"/>
                  <w:lang w:val="en-US"/>
                </w:rPr>
              </w:pPr>
              <w:r w:rsidRPr="00001242">
                <w:rPr>
                  <w:rFonts w:ascii="Century Gothic" w:hAnsi="Century Gothic"/>
                  <w:sz w:val="24"/>
                  <w:szCs w:val="24"/>
                  <w:lang w:val="en-US"/>
                </w:rPr>
                <w:t>Aragon-Correa, J. A. and Sharma, S. (2003). A contingent resource-based view of proactive corporate environmental strategy. Academy of Management Review, 28 (1), 71-88</w:t>
              </w:r>
            </w:p>
            <w:p w:rsidR="00796CEE" w:rsidRPr="00001242" w:rsidRDefault="00796CEE" w:rsidP="00001242">
              <w:pPr>
                <w:jc w:val="both"/>
                <w:rPr>
                  <w:rFonts w:ascii="Century Gothic" w:hAnsi="Century Gothic"/>
                  <w:sz w:val="24"/>
                  <w:szCs w:val="24"/>
                  <w:lang w:val="en-US"/>
                </w:rPr>
              </w:pPr>
              <w:r w:rsidRPr="00001242">
                <w:rPr>
                  <w:rFonts w:ascii="Century Gothic" w:hAnsi="Century Gothic"/>
                  <w:sz w:val="24"/>
                  <w:szCs w:val="24"/>
                  <w:lang w:val="en-US"/>
                </w:rPr>
                <w:lastRenderedPageBreak/>
                <w:t>Ali Shah, S. and Akbar, S. (2008). Value relevance of advertising expenditure: A review of the literature. International Journal of Management Reviews, 10 (4), 301-325.</w:t>
              </w:r>
            </w:p>
            <w:p w:rsidR="00796CEE" w:rsidRPr="00001242" w:rsidRDefault="00796CEE" w:rsidP="00001242">
              <w:pPr>
                <w:pStyle w:val="Bibliografa"/>
                <w:ind w:left="720" w:hanging="720"/>
                <w:jc w:val="both"/>
                <w:rPr>
                  <w:rFonts w:ascii="Century Gothic" w:hAnsi="Century Gothic"/>
                  <w:noProof/>
                  <w:sz w:val="24"/>
                  <w:szCs w:val="24"/>
                  <w:lang w:val="es-ES"/>
                </w:rPr>
              </w:pPr>
              <w:r w:rsidRPr="00001242">
                <w:rPr>
                  <w:rFonts w:ascii="Century Gothic" w:hAnsi="Century Gothic"/>
                  <w:noProof/>
                  <w:sz w:val="24"/>
                  <w:szCs w:val="24"/>
                  <w:lang w:val="en-US"/>
                </w:rPr>
                <w:t xml:space="preserve">SCHWALB HELGUERO, M. M. (2013). Universidad de Deusto. </w:t>
              </w:r>
              <w:r w:rsidRPr="00001242">
                <w:rPr>
                  <w:rFonts w:ascii="Century Gothic" w:hAnsi="Century Gothic"/>
                  <w:i/>
                  <w:iCs/>
                  <w:noProof/>
                  <w:sz w:val="24"/>
                  <w:szCs w:val="24"/>
                  <w:lang w:val="es-ES"/>
                </w:rPr>
                <w:t>La Responsabilidad Social del Marketing</w:t>
              </w:r>
              <w:r w:rsidRPr="00001242">
                <w:rPr>
                  <w:rFonts w:ascii="Century Gothic" w:hAnsi="Century Gothic"/>
                  <w:noProof/>
                  <w:sz w:val="24"/>
                  <w:szCs w:val="24"/>
                  <w:lang w:val="es-ES"/>
                </w:rPr>
                <w:t>.</w:t>
              </w:r>
            </w:p>
            <w:p w:rsidR="00796CEE" w:rsidRPr="00001242" w:rsidRDefault="00796CEE" w:rsidP="00001242">
              <w:pPr>
                <w:jc w:val="both"/>
                <w:rPr>
                  <w:rFonts w:ascii="Century Gothic" w:hAnsi="Century Gothic"/>
                  <w:sz w:val="24"/>
                  <w:szCs w:val="24"/>
                </w:rPr>
              </w:pPr>
              <w:r w:rsidRPr="00001242">
                <w:rPr>
                  <w:rFonts w:ascii="Century Gothic" w:hAnsi="Century Gothic" w:cs="Times New Roman"/>
                  <w:b/>
                  <w:bCs/>
                  <w:sz w:val="24"/>
                  <w:szCs w:val="24"/>
                </w:rPr>
                <w:fldChar w:fldCharType="end"/>
              </w:r>
            </w:p>
          </w:sdtContent>
        </w:sdt>
      </w:sdtContent>
    </w:sdt>
    <w:p w:rsidR="00796CEE" w:rsidRPr="00001242" w:rsidRDefault="00796CEE" w:rsidP="00001242">
      <w:pPr>
        <w:spacing w:after="160" w:line="259" w:lineRule="auto"/>
        <w:jc w:val="both"/>
        <w:rPr>
          <w:rFonts w:ascii="Century Gothic" w:eastAsia="Calibri" w:hAnsi="Century Gothic" w:cs="Calibri"/>
          <w:sz w:val="24"/>
          <w:szCs w:val="24"/>
        </w:rPr>
      </w:pPr>
    </w:p>
    <w:sectPr w:rsidR="00796CEE" w:rsidRPr="00001242" w:rsidSect="00BC75B9">
      <w:pgSz w:w="12240" w:h="15840"/>
      <w:pgMar w:top="1417" w:right="1701" w:bottom="1417" w:left="1701" w:header="708" w:footer="708" w:gutter="0"/>
      <w:pgBorders w:offsetFrom="page">
        <w:top w:val="certificateBanner" w:sz="31" w:space="24" w:color="215868" w:themeColor="accent5" w:themeShade="80"/>
        <w:left w:val="certificateBanner" w:sz="31" w:space="24" w:color="215868" w:themeColor="accent5" w:themeShade="80"/>
        <w:bottom w:val="certificateBanner" w:sz="31" w:space="24" w:color="215868" w:themeColor="accent5" w:themeShade="80"/>
        <w:right w:val="certificateBanner" w:sz="31" w:space="24" w:color="215868" w:themeColor="accent5"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92"/>
    <w:rsid w:val="00001242"/>
    <w:rsid w:val="00796CEE"/>
    <w:rsid w:val="00952D54"/>
    <w:rsid w:val="009E5E34"/>
    <w:rsid w:val="00BC75B9"/>
    <w:rsid w:val="00BE2592"/>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96CE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CEE"/>
    <w:rPr>
      <w:rFonts w:asciiTheme="majorHAnsi" w:eastAsiaTheme="majorEastAsia" w:hAnsiTheme="majorHAnsi" w:cstheme="majorBidi"/>
      <w:color w:val="365F91" w:themeColor="accent1" w:themeShade="BF"/>
      <w:sz w:val="32"/>
      <w:szCs w:val="32"/>
    </w:rPr>
  </w:style>
  <w:style w:type="paragraph" w:styleId="Bibliografa">
    <w:name w:val="Bibliography"/>
    <w:basedOn w:val="Normal"/>
    <w:next w:val="Normal"/>
    <w:uiPriority w:val="37"/>
    <w:unhideWhenUsed/>
    <w:rsid w:val="00796CEE"/>
    <w:pPr>
      <w:spacing w:after="160" w:line="259" w:lineRule="auto"/>
    </w:pPr>
    <w:rPr>
      <w:rFonts w:eastAsiaTheme="minorHAnsi"/>
      <w:lang w:eastAsia="en-US"/>
    </w:rPr>
  </w:style>
  <w:style w:type="paragraph" w:styleId="Textodeglobo">
    <w:name w:val="Balloon Text"/>
    <w:basedOn w:val="Normal"/>
    <w:link w:val="TextodegloboCar"/>
    <w:uiPriority w:val="99"/>
    <w:semiHidden/>
    <w:unhideWhenUsed/>
    <w:rsid w:val="00796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CEE"/>
    <w:rPr>
      <w:rFonts w:ascii="Tahoma" w:hAnsi="Tahoma" w:cs="Tahoma"/>
      <w:sz w:val="16"/>
      <w:szCs w:val="16"/>
    </w:rPr>
  </w:style>
  <w:style w:type="character" w:styleId="Hipervnculo">
    <w:name w:val="Hyperlink"/>
    <w:basedOn w:val="Fuentedeprrafopredeter"/>
    <w:uiPriority w:val="99"/>
    <w:unhideWhenUsed/>
    <w:rsid w:val="0000124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C" w:eastAsia="es-EC"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796CEE"/>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96CEE"/>
    <w:rPr>
      <w:rFonts w:asciiTheme="majorHAnsi" w:eastAsiaTheme="majorEastAsia" w:hAnsiTheme="majorHAnsi" w:cstheme="majorBidi"/>
      <w:color w:val="365F91" w:themeColor="accent1" w:themeShade="BF"/>
      <w:sz w:val="32"/>
      <w:szCs w:val="32"/>
    </w:rPr>
  </w:style>
  <w:style w:type="paragraph" w:styleId="Bibliografa">
    <w:name w:val="Bibliography"/>
    <w:basedOn w:val="Normal"/>
    <w:next w:val="Normal"/>
    <w:uiPriority w:val="37"/>
    <w:unhideWhenUsed/>
    <w:rsid w:val="00796CEE"/>
    <w:pPr>
      <w:spacing w:after="160" w:line="259" w:lineRule="auto"/>
    </w:pPr>
    <w:rPr>
      <w:rFonts w:eastAsiaTheme="minorHAnsi"/>
      <w:lang w:eastAsia="en-US"/>
    </w:rPr>
  </w:style>
  <w:style w:type="paragraph" w:styleId="Textodeglobo">
    <w:name w:val="Balloon Text"/>
    <w:basedOn w:val="Normal"/>
    <w:link w:val="TextodegloboCar"/>
    <w:uiPriority w:val="99"/>
    <w:semiHidden/>
    <w:unhideWhenUsed/>
    <w:rsid w:val="00796CE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6CEE"/>
    <w:rPr>
      <w:rFonts w:ascii="Tahoma" w:hAnsi="Tahoma" w:cs="Tahoma"/>
      <w:sz w:val="16"/>
      <w:szCs w:val="16"/>
    </w:rPr>
  </w:style>
  <w:style w:type="character" w:styleId="Hipervnculo">
    <w:name w:val="Hyperlink"/>
    <w:basedOn w:val="Fuentedeprrafopredeter"/>
    <w:uiPriority w:val="99"/>
    <w:unhideWhenUsed/>
    <w:rsid w:val="000012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enita.giron92@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b:Source>
    <b:Tag>Mer07</b:Tag>
    <b:SourceType>InternetSite</b:SourceType>
    <b:Guid>{6678AC6C-4AE9-4767-95C1-634F7BF63B7D}</b:Guid>
    <b:Title>La responsabilidad social en empresas del Valle de Toluca (México): un estudio exploratorio</b:Title>
    <b:Year>2007</b:Year>
    <b:URL>http://bibliotecadigital.icesi.edu.co/biblioteca_digital/bitstream/item/1082/1/Responsabilidad_social_empresas_valle_Toluca.pdf.</b:URL>
    <b:Author>
      <b:Author>
        <b:NameList>
          <b:Person>
            <b:Last>Mercado</b:Last>
            <b:First>P.</b:First>
          </b:Person>
        </b:NameList>
      </b:Author>
    </b:Author>
    <b:RefOrder>2</b:RefOrder>
  </b:Source>
  <b:Source>
    <b:Tag>GRu04</b:Tag>
    <b:SourceType>BookSection</b:SourceType>
    <b:Guid>{BFE0367D-1731-432B-BC7B-8BAB10F2FD9E}</b:Guid>
    <b:Title>G. Ruiz</b:Title>
    <b:Year>2004</b:Year>
    <b:Author>
      <b:Author>
        <b:NameList>
          <b:Person>
            <b:Last>Ruiz</b:Last>
            <b:First>G.</b:First>
          </b:Person>
        </b:NameList>
      </b:Author>
    </b:Author>
    <b:BookTitle>Cuando ser bueno es negocio</b:BookTitle>
    <b:City>México</b:City>
    <b:Publisher>Expansión</b:Publisher>
    <b:RefOrder>3</b:RefOrder>
  </b:Source>
  <b:Source>
    <b:Tag>TKu08</b:Tag>
    <b:SourceType>BookSection</b:SourceType>
    <b:Guid>{D0B390CE-CBCF-4A11-9F7A-06F0C14AE8A6}</b:Guid>
    <b:Author>
      <b:Author>
        <b:NameList>
          <b:Person>
            <b:Last>T. Kuhn</b:Last>
            <b:First>S.</b:First>
            <b:Middle>Deetz</b:Middle>
          </b:Person>
        </b:NameList>
      </b:Author>
    </b:Author>
    <b:Title>Critical Theory and Corporate Social Responsibility Can/Should we get beyond cynical reasoning</b:Title>
    <b:Year>2008</b:Year>
    <b:City>New York</b:City>
    <b:Publisher>Oxford University Press</b:Publisher>
    <b:RefOrder>4</b:RefOrder>
  </b:Source>
  <b:Source>
    <b:Tag>PRP03</b:Tag>
    <b:SourceType>ArticleInAPeriodical</b:SourceType>
    <b:Guid>{50BCA3C5-2042-4CFA-BB1E-4B9B3AFD0DA0}</b:Guid>
    <b:Author>
      <b:Author>
        <b:NameList>
          <b:Person>
            <b:Last>P.R.P. Coelho</b:Last>
            <b:First>J.E.</b:First>
            <b:Middle>McClure, J.A. Spry</b:Middle>
          </b:Person>
        </b:NameList>
      </b:Author>
    </b:Author>
    <b:Title>The social. responsibility of corporate management: a classical critique</b:Title>
    <b:Year>2003</b:Year>
    <b:PeriodicalTitle>Mid - American Journal of Business</b:PeriodicalTitle>
    <b:RefOrder>5</b:RefOrder>
  </b:Source>
  <b:Source>
    <b:Tag>ACo02</b:Tag>
    <b:SourceType>ArticleInAPeriodical</b:SourceType>
    <b:Guid>{5D833051-2E1E-48F8-BC68-53E2FD80512F}</b:Guid>
    <b:Author>
      <b:Author>
        <b:NameList>
          <b:Person>
            <b:Last>Cortina</b:Last>
            <b:First>A.</b:First>
          </b:Person>
        </b:NameList>
      </b:Author>
    </b:Author>
    <b:Title>La naturaleza pública de las éticas aplicadas</b:Title>
    <b:Year>2002</b:Year>
    <b:RefOrder>6</b:RefOrder>
  </b:Source>
  <b:Source>
    <b:Tag>Don</b:Tag>
    <b:SourceType>Report</b:SourceType>
    <b:Guid>{C5CE20D6-BBDB-472D-8B68-B4565D2C406F}</b:Guid>
    <b:Author>
      <b:Author>
        <b:NameList>
          <b:Person>
            <b:Last>Donaldson</b:Last>
            <b:First>T.</b:First>
          </b:Person>
        </b:NameList>
      </b:Author>
    </b:Author>
    <b:Title>Corporations and Morality</b:Title>
    <b:City>Prentice Hall, Englewood Cliff, NJ</b:City>
    <b:RefOrder>7</b:RefOrder>
  </b:Source>
  <b:Source>
    <b:Tag>JCa07</b:Tag>
    <b:SourceType>ArticleInAPeriodical</b:SourceType>
    <b:Guid>{570DD18F-6F29-4110-A863-6F09A57650E9}</b:Guid>
    <b:Author>
      <b:Author>
        <b:NameList>
          <b:Person>
            <b:Last>J. Cambra-Fierro</b:Last>
            <b:First>Y.</b:First>
            <b:Middle>Polo-Redondo, A. Wilson</b:Middle>
          </b:Person>
        </b:NameList>
      </b:Author>
    </b:Author>
    <b:Title>The Influence of an Organization's Corporate Values on Employees Personal Buying Behaviour</b:Title>
    <b:Year>2007</b:Year>
    <b:PeriodicalTitle>Journal of Business Ethics</b:PeriodicalTitle>
    <b:Pages>157–167</b:Pages>
    <b:RefOrder>8</b:RefOrder>
  </b:Source>
  <b:Source>
    <b:Tag>SCB07</b:Tag>
    <b:SourceType>ArticleInAPeriodical</b:SourceType>
    <b:Guid>{CBCC435B-A012-4DE3-A4BC-63822326822F}</b:Guid>
    <b:Author>
      <b:Author>
        <b:NameList>
          <b:Person>
            <b:Last>Beckmann</b:Last>
            <b:First>S.C.</b:First>
          </b:Person>
        </b:NameList>
      </b:Author>
    </b:Author>
    <b:Title>Consumers and corporate social responsibility: Matching the unmatchable?</b:Title>
    <b:PeriodicalTitle>Australasian Marketing Journa</b:PeriodicalTitle>
    <b:Year>2007</b:Year>
    <b:Pages>27–36</b:Pages>
    <b:RefOrder>9</b:RefOrder>
  </b:Source>
  <b:Source>
    <b:Tag>Bal</b:Tag>
    <b:SourceType>JournalArticle</b:SourceType>
    <b:Guid>{3A9C271C-ACFD-45C7-8284-667BE083FF49}</b:Guid>
    <b:Author>
      <b:Author>
        <b:NameList>
          <b:Person>
            <b:Last>Ballarín</b:Last>
            <b:First>1991</b:First>
          </b:Person>
        </b:NameList>
      </b:Author>
    </b:Author>
    <b:Title>El proceso de dirección en las Cajas de Ahorros</b:Title>
    <b:Pages>25–36</b:Pages>
    <b:JournalName>Papeles de Economía Española</b:JournalName>
    <b:RefOrder>10</b:RefOrder>
  </b:Source>
  <b:Source>
    <b:Tag>CBa06</b:Tag>
    <b:SourceType>JournalArticle</b:SourceType>
    <b:Guid>{2EFC865A-29AB-4CB8-A089-508056CFE1EB}</b:Guid>
    <b:Author>
      <b:Author>
        <b:NameList>
          <b:Person>
            <b:Last>Balado</b:Last>
            <b:First>C.</b:First>
          </b:Person>
        </b:NameList>
      </b:Author>
    </b:Author>
    <b:Title>La obra social de las cajas: Un paso siempre por delante en RSC</b:Title>
    <b:JournalName>Papeles de Economía Española</b:JournalName>
    <b:Year>2006</b:Year>
    <b:Pages>144–160</b:Pages>
    <b:RefOrder>11</b:RefOrder>
  </b:Source>
  <b:Source>
    <b:Tag>SCH13</b:Tag>
    <b:SourceType>Misc</b:SourceType>
    <b:Guid>{0352F341-74A2-4BB9-BEBE-63E47CFD6445}</b:Guid>
    <b:Title>Universidad de Deusto</b:Title>
    <b:Year>2013</b:Year>
    <b:Author>
      <b:Author>
        <b:NameList>
          <b:Person>
            <b:Last>SCHWALB HELGUERO</b:Last>
            <b:First>María</b:First>
            <b:Middle>Matilde</b:Middle>
          </b:Person>
        </b:NameList>
      </b:Author>
    </b:Author>
    <b:PublicationTitle>La Responsabilidad Social del Marketing</b:PublicationTitle>
    <b:RefOrder>1</b:RefOrder>
  </b:Source>
</b:Sources>
</file>

<file path=customXml/itemProps1.xml><?xml version="1.0" encoding="utf-8"?>
<ds:datastoreItem xmlns:ds="http://schemas.openxmlformats.org/officeDocument/2006/customXml" ds:itemID="{B651F04F-F952-492A-834A-F6D856134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1236</Words>
  <Characters>6804</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Laboratorio</cp:lastModifiedBy>
  <cp:revision>2</cp:revision>
  <dcterms:created xsi:type="dcterms:W3CDTF">2014-09-10T17:34:00Z</dcterms:created>
  <dcterms:modified xsi:type="dcterms:W3CDTF">2014-09-10T17:34:00Z</dcterms:modified>
</cp:coreProperties>
</file>